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B821" w14:textId="0393D8DE" w:rsidR="002748C1" w:rsidRDefault="001C571D" w:rsidP="007E581A">
      <w:pPr>
        <w:pStyle w:val="Heading1"/>
        <w:spacing w:line="360" w:lineRule="auto"/>
      </w:pPr>
      <w:r>
        <w:t xml:space="preserve">In text referencing </w:t>
      </w:r>
    </w:p>
    <w:p w14:paraId="2D807A08" w14:textId="68DED187" w:rsidR="00B667C3" w:rsidRDefault="00B667C3" w:rsidP="007E581A">
      <w:r>
        <w:t xml:space="preserve">Read each </w:t>
      </w:r>
      <w:r w:rsidR="005E0D6D">
        <w:t xml:space="preserve">in text </w:t>
      </w:r>
      <w:r>
        <w:t>reference</w:t>
      </w:r>
      <w:r w:rsidR="005E0D6D">
        <w:t xml:space="preserve"> (references that are used in the response that the student writes)</w:t>
      </w:r>
      <w:r>
        <w:t xml:space="preserve">. Decide if it is correct or not. If it is incorrect, write in the corrections. </w:t>
      </w:r>
    </w:p>
    <w:p w14:paraId="6FE33885" w14:textId="77777777" w:rsidR="00B667C3" w:rsidRDefault="00B667C3" w:rsidP="007E581A">
      <w:pPr>
        <w:spacing w:line="360" w:lineRule="auto"/>
      </w:pPr>
    </w:p>
    <w:p w14:paraId="7C13DDE1" w14:textId="296E969A" w:rsidR="00B667C3" w:rsidRDefault="00B667C3" w:rsidP="007E581A">
      <w:pPr>
        <w:pStyle w:val="ListParagraph"/>
        <w:numPr>
          <w:ilvl w:val="0"/>
          <w:numId w:val="1"/>
        </w:numPr>
        <w:spacing w:line="360" w:lineRule="auto"/>
      </w:pPr>
      <w:r>
        <w:t xml:space="preserve">According to Miura. U &amp; </w:t>
      </w:r>
      <w:proofErr w:type="spellStart"/>
      <w:r>
        <w:t>Hau</w:t>
      </w:r>
      <w:proofErr w:type="spellEnd"/>
      <w:r>
        <w:t xml:space="preserve"> E-L, F (2018)</w:t>
      </w:r>
      <w:r w:rsidR="00C430DD">
        <w:t xml:space="preserve">, </w:t>
      </w:r>
      <w:r>
        <w:t>learners are placed at the centre of the learning process.</w:t>
      </w:r>
    </w:p>
    <w:p w14:paraId="028A5C0B" w14:textId="77777777" w:rsidR="007E581A" w:rsidRDefault="007E581A" w:rsidP="007E581A">
      <w:pPr>
        <w:pStyle w:val="ListParagraph"/>
        <w:spacing w:line="360" w:lineRule="auto"/>
      </w:pPr>
    </w:p>
    <w:p w14:paraId="7AFA39B4" w14:textId="73A30503" w:rsidR="00B667C3" w:rsidRDefault="00C430DD" w:rsidP="007E581A">
      <w:pPr>
        <w:pStyle w:val="ListParagraph"/>
        <w:numPr>
          <w:ilvl w:val="0"/>
          <w:numId w:val="1"/>
        </w:numPr>
        <w:spacing w:line="360" w:lineRule="auto"/>
      </w:pPr>
      <w:r>
        <w:t>T</w:t>
      </w:r>
      <w:r w:rsidR="00B667C3">
        <w:t>his article by Fisher, M.R</w:t>
      </w:r>
      <w:r w:rsidR="002F291D">
        <w:t>., Jr., &amp; Bandy, J. (2019)</w:t>
      </w:r>
      <w:r>
        <w:t xml:space="preserve"> e</w:t>
      </w:r>
      <w:r w:rsidR="002F291D">
        <w:t xml:space="preserve">xplains assessment and why assessments are important in student learning. </w:t>
      </w:r>
    </w:p>
    <w:p w14:paraId="079EBDBA" w14:textId="77777777" w:rsidR="007E581A" w:rsidRDefault="007E581A" w:rsidP="00C430DD">
      <w:pPr>
        <w:spacing w:line="360" w:lineRule="auto"/>
      </w:pPr>
    </w:p>
    <w:p w14:paraId="42EB51D0" w14:textId="67DDE3E4" w:rsidR="00C430DD" w:rsidRDefault="005E0D6D" w:rsidP="00C430DD">
      <w:pPr>
        <w:pStyle w:val="ListParagraph"/>
        <w:numPr>
          <w:ilvl w:val="0"/>
          <w:numId w:val="1"/>
        </w:numPr>
        <w:spacing w:line="360" w:lineRule="auto"/>
      </w:pPr>
      <w:r>
        <w:t xml:space="preserve">Franklin &amp; Melville (2013) emphasise the importance of demonstrating competency in a healthcare environment. </w:t>
      </w:r>
    </w:p>
    <w:p w14:paraId="34F3CF01" w14:textId="77777777" w:rsidR="006E7291" w:rsidRDefault="006E7291" w:rsidP="006E7291">
      <w:pPr>
        <w:spacing w:line="360" w:lineRule="auto"/>
      </w:pPr>
    </w:p>
    <w:p w14:paraId="3BC1CC07" w14:textId="337C20D2" w:rsidR="00C430DD" w:rsidRDefault="00C430DD" w:rsidP="00C430DD">
      <w:pPr>
        <w:pStyle w:val="ListParagraph"/>
        <w:numPr>
          <w:ilvl w:val="0"/>
          <w:numId w:val="1"/>
        </w:numPr>
        <w:spacing w:line="360" w:lineRule="auto"/>
      </w:pPr>
      <w:r>
        <w:t xml:space="preserve">E. coli can be a cause of diarrhoea (WHO </w:t>
      </w:r>
      <w:proofErr w:type="spellStart"/>
      <w:proofErr w:type="gramStart"/>
      <w:r>
        <w:t>E.Coli</w:t>
      </w:r>
      <w:proofErr w:type="spellEnd"/>
      <w:proofErr w:type="gramEnd"/>
      <w:r>
        <w:t xml:space="preserve"> fact sheet </w:t>
      </w:r>
      <w:hyperlink r:id="rId5" w:history="1">
        <w:r w:rsidRPr="000F0A97">
          <w:rPr>
            <w:rStyle w:val="Hyperlink"/>
          </w:rPr>
          <w:t>https://www.who.int/news-room/fact-sheets/detail/e-coli</w:t>
        </w:r>
      </w:hyperlink>
      <w:r>
        <w:t>).</w:t>
      </w:r>
    </w:p>
    <w:p w14:paraId="3C03E6AA" w14:textId="77777777" w:rsidR="00C430DD" w:rsidRDefault="00C430DD" w:rsidP="00C430DD">
      <w:pPr>
        <w:pStyle w:val="ListParagraph"/>
      </w:pPr>
    </w:p>
    <w:p w14:paraId="23ADCF24" w14:textId="7B655359" w:rsidR="007E581A" w:rsidRPr="007B745F" w:rsidRDefault="00C430DD" w:rsidP="007B74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131413"/>
          <w:kern w:val="0"/>
          <w:lang w:val="en-GB"/>
        </w:rPr>
      </w:pPr>
      <w:r w:rsidRPr="007B745F">
        <w:rPr>
          <w:rFonts w:cstheme="minorHAnsi"/>
        </w:rPr>
        <w:t xml:space="preserve">Disposing of faeces safely is important to help prevent diarrhoeal disease </w:t>
      </w:r>
      <w:r w:rsidR="007B745F">
        <w:rPr>
          <w:rFonts w:cstheme="minorHAnsi"/>
        </w:rPr>
        <w:t>(</w:t>
      </w:r>
      <w:r w:rsidR="007B745F" w:rsidRPr="007B745F">
        <w:rPr>
          <w:rFonts w:cstheme="minorHAnsi"/>
          <w:color w:val="131413"/>
          <w:kern w:val="0"/>
          <w:lang w:val="en-GB"/>
        </w:rPr>
        <w:t xml:space="preserve">Abdul-Aziz </w:t>
      </w:r>
      <w:proofErr w:type="spellStart"/>
      <w:r w:rsidR="007B745F" w:rsidRPr="007B745F">
        <w:rPr>
          <w:rFonts w:cstheme="minorHAnsi"/>
          <w:color w:val="131413"/>
          <w:kern w:val="0"/>
          <w:lang w:val="en-GB"/>
        </w:rPr>
        <w:t>Seidu</w:t>
      </w:r>
      <w:proofErr w:type="spellEnd"/>
      <w:r w:rsidR="007B745F" w:rsidRPr="007B745F">
        <w:rPr>
          <w:rFonts w:cstheme="minorHAnsi"/>
          <w:color w:val="131413"/>
          <w:kern w:val="0"/>
          <w:lang w:val="en-GB"/>
        </w:rPr>
        <w:t xml:space="preserve">, Ebenezer </w:t>
      </w:r>
      <w:proofErr w:type="spellStart"/>
      <w:r w:rsidR="007B745F" w:rsidRPr="007B745F">
        <w:rPr>
          <w:rFonts w:cstheme="minorHAnsi"/>
          <w:color w:val="131413"/>
          <w:kern w:val="0"/>
          <w:lang w:val="en-GB"/>
        </w:rPr>
        <w:t>Agbaglo</w:t>
      </w:r>
      <w:proofErr w:type="spellEnd"/>
      <w:r w:rsidR="007B745F" w:rsidRPr="007B745F">
        <w:rPr>
          <w:rFonts w:cstheme="minorHAnsi"/>
          <w:color w:val="131413"/>
          <w:kern w:val="0"/>
          <w:lang w:val="en-GB"/>
        </w:rPr>
        <w:t xml:space="preserve">, Bright Opoku </w:t>
      </w:r>
      <w:proofErr w:type="spellStart"/>
      <w:r w:rsidR="007B745F" w:rsidRPr="007B745F">
        <w:rPr>
          <w:rFonts w:cstheme="minorHAnsi"/>
          <w:color w:val="131413"/>
          <w:kern w:val="0"/>
          <w:lang w:val="en-GB"/>
        </w:rPr>
        <w:t>Ahinkorah</w:t>
      </w:r>
      <w:proofErr w:type="spellEnd"/>
      <w:r w:rsidR="007B745F" w:rsidRPr="007B745F">
        <w:rPr>
          <w:rFonts w:cstheme="minorHAnsi"/>
          <w:color w:val="131413"/>
          <w:kern w:val="0"/>
          <w:lang w:val="en-GB"/>
        </w:rPr>
        <w:t xml:space="preserve">, Louis Kobina </w:t>
      </w:r>
      <w:proofErr w:type="spellStart"/>
      <w:r w:rsidR="007B745F" w:rsidRPr="007B745F">
        <w:rPr>
          <w:rFonts w:cstheme="minorHAnsi"/>
          <w:color w:val="131413"/>
          <w:kern w:val="0"/>
          <w:lang w:val="en-GB"/>
        </w:rPr>
        <w:t>Dadzie</w:t>
      </w:r>
      <w:proofErr w:type="spellEnd"/>
      <w:r w:rsidR="007B745F" w:rsidRPr="007B745F">
        <w:rPr>
          <w:rFonts w:cstheme="minorHAnsi"/>
          <w:color w:val="131413"/>
          <w:kern w:val="0"/>
          <w:lang w:val="en-GB"/>
        </w:rPr>
        <w:t xml:space="preserve">, Ishmael </w:t>
      </w:r>
      <w:proofErr w:type="spellStart"/>
      <w:r w:rsidR="007B745F" w:rsidRPr="007B745F">
        <w:rPr>
          <w:rFonts w:cstheme="minorHAnsi"/>
          <w:color w:val="131413"/>
          <w:kern w:val="0"/>
          <w:lang w:val="en-GB"/>
        </w:rPr>
        <w:t>Bukari</w:t>
      </w:r>
      <w:proofErr w:type="spellEnd"/>
      <w:r w:rsidR="007B745F" w:rsidRPr="007B745F">
        <w:rPr>
          <w:rFonts w:cstheme="minorHAnsi"/>
          <w:color w:val="131413"/>
          <w:kern w:val="0"/>
          <w:lang w:val="en-GB"/>
        </w:rPr>
        <w:t>,</w:t>
      </w:r>
      <w:r w:rsidR="007B745F">
        <w:rPr>
          <w:rFonts w:cstheme="minorHAnsi"/>
          <w:color w:val="131413"/>
          <w:kern w:val="0"/>
          <w:lang w:val="en-GB"/>
        </w:rPr>
        <w:t xml:space="preserve"> </w:t>
      </w:r>
      <w:r w:rsidR="007B745F" w:rsidRPr="007B745F">
        <w:rPr>
          <w:rFonts w:cstheme="minorHAnsi"/>
          <w:color w:val="131413"/>
          <w:kern w:val="0"/>
          <w:lang w:val="en-GB"/>
        </w:rPr>
        <w:t xml:space="preserve">Edward Kwabena Ameyaw and </w:t>
      </w:r>
      <w:proofErr w:type="spellStart"/>
      <w:r w:rsidR="007B745F" w:rsidRPr="007B745F">
        <w:rPr>
          <w:rFonts w:cstheme="minorHAnsi"/>
          <w:color w:val="131413"/>
          <w:kern w:val="0"/>
          <w:lang w:val="en-GB"/>
        </w:rPr>
        <w:t>Sanni</w:t>
      </w:r>
      <w:proofErr w:type="spellEnd"/>
      <w:r w:rsidR="007B745F" w:rsidRPr="007B745F">
        <w:rPr>
          <w:rFonts w:cstheme="minorHAnsi"/>
          <w:color w:val="131413"/>
          <w:kern w:val="0"/>
          <w:lang w:val="en-GB"/>
        </w:rPr>
        <w:t xml:space="preserve"> Yaya).</w:t>
      </w:r>
    </w:p>
    <w:p w14:paraId="0099B47D" w14:textId="77777777" w:rsidR="007E581A" w:rsidRDefault="007E581A" w:rsidP="007E581A">
      <w:pPr>
        <w:pStyle w:val="ListParagraph"/>
        <w:spacing w:line="360" w:lineRule="auto"/>
      </w:pPr>
    </w:p>
    <w:p w14:paraId="2F362ADA" w14:textId="77777777" w:rsidR="007E581A" w:rsidRDefault="001C571D" w:rsidP="007E581A">
      <w:pPr>
        <w:spacing w:line="360" w:lineRule="auto"/>
      </w:pPr>
      <w:r w:rsidRPr="007E581A">
        <w:rPr>
          <w:rStyle w:val="Heading1Char"/>
        </w:rPr>
        <w:t>Full reference</w:t>
      </w:r>
    </w:p>
    <w:p w14:paraId="24B5C6B2" w14:textId="4A89938E" w:rsidR="001C571D" w:rsidRDefault="001C571D" w:rsidP="007E581A">
      <w:r>
        <w:t>Read each in</w:t>
      </w:r>
      <w:r w:rsidR="007B745F">
        <w:t>-</w:t>
      </w:r>
      <w:r>
        <w:t>text reference</w:t>
      </w:r>
      <w:r w:rsidR="007B745F">
        <w:t>.</w:t>
      </w:r>
      <w:r>
        <w:t xml:space="preserve"> Decide if it is correct or not. If it is incorrect, write in the corrections, or write down what is missing or what is incorrect.</w:t>
      </w:r>
    </w:p>
    <w:p w14:paraId="5D1512C9" w14:textId="77777777" w:rsidR="007E581A" w:rsidRDefault="007E581A" w:rsidP="007B745F"/>
    <w:p w14:paraId="5E5AD11C" w14:textId="77777777" w:rsidR="007E581A" w:rsidRDefault="007E581A" w:rsidP="007E581A">
      <w:pPr>
        <w:pStyle w:val="ListParagraph"/>
        <w:spacing w:line="360" w:lineRule="auto"/>
      </w:pPr>
    </w:p>
    <w:p w14:paraId="0A20FA08" w14:textId="610033D3" w:rsidR="000211B0" w:rsidRDefault="000211B0" w:rsidP="007E581A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Salamonson</w:t>
      </w:r>
      <w:proofErr w:type="spellEnd"/>
      <w:r>
        <w:t xml:space="preserve"> Y., Koch J., Weaver R., Everett B., &amp; Jackson D. (2010) Embedded academic writing support for nursing students with English as a second language. </w:t>
      </w:r>
      <w:r w:rsidRPr="000211B0">
        <w:rPr>
          <w:i/>
          <w:iCs/>
        </w:rPr>
        <w:t>Journal of Advance Nursing 66(2),</w:t>
      </w:r>
      <w:r>
        <w:t xml:space="preserve"> 413-421.  10.1111/j.1365-2648.2009.05156.</w:t>
      </w:r>
    </w:p>
    <w:p w14:paraId="0A2FA601" w14:textId="77777777" w:rsidR="007B745F" w:rsidRDefault="007B745F" w:rsidP="007B745F">
      <w:pPr>
        <w:pStyle w:val="ListParagraph"/>
        <w:spacing w:line="360" w:lineRule="auto"/>
      </w:pPr>
    </w:p>
    <w:p w14:paraId="37E88897" w14:textId="71C83E93" w:rsidR="00C430DD" w:rsidRPr="009A1579" w:rsidRDefault="00C430DD" w:rsidP="007B745F">
      <w:pPr>
        <w:pStyle w:val="ListParagraph"/>
        <w:numPr>
          <w:ilvl w:val="0"/>
          <w:numId w:val="2"/>
        </w:numPr>
        <w:spacing w:line="360" w:lineRule="auto"/>
        <w:rPr>
          <w:rStyle w:val="Hyperlink"/>
          <w:color w:val="auto"/>
          <w:u w:val="none"/>
        </w:rPr>
      </w:pPr>
      <w:proofErr w:type="spellStart"/>
      <w:proofErr w:type="gramStart"/>
      <w:r>
        <w:t>E.Coli</w:t>
      </w:r>
      <w:proofErr w:type="spellEnd"/>
      <w:proofErr w:type="gramEnd"/>
      <w:r w:rsidR="007B745F">
        <w:t xml:space="preserve"> fact sheet. WHO. </w:t>
      </w:r>
      <w:hyperlink r:id="rId6" w:history="1">
        <w:r w:rsidR="007B745F" w:rsidRPr="000F0A97">
          <w:rPr>
            <w:rStyle w:val="Hyperlink"/>
          </w:rPr>
          <w:t>https://www.who.int/news-room/fact-sheets/detail/e-coli</w:t>
        </w:r>
      </w:hyperlink>
    </w:p>
    <w:p w14:paraId="0E47EE70" w14:textId="77777777" w:rsidR="009A1579" w:rsidRPr="009A1579" w:rsidRDefault="009A1579" w:rsidP="009A1579">
      <w:pPr>
        <w:pStyle w:val="ListParagraph"/>
        <w:rPr>
          <w:rStyle w:val="Hyperlink"/>
          <w:color w:val="auto"/>
          <w:u w:val="none"/>
        </w:rPr>
      </w:pPr>
    </w:p>
    <w:p w14:paraId="244F38EF" w14:textId="21ECAB09" w:rsidR="009A1579" w:rsidRPr="009A1579" w:rsidRDefault="009A1579" w:rsidP="007B745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Nirmala </w:t>
      </w:r>
      <w:r w:rsidRPr="009A1579">
        <w:rPr>
          <w:rFonts w:cstheme="minorHAnsi"/>
          <w:color w:val="222222"/>
          <w:shd w:val="clear" w:color="auto" w:fill="FFFFFF"/>
        </w:rPr>
        <w:t>Rao,</w:t>
      </w:r>
      <w:r>
        <w:rPr>
          <w:rFonts w:cstheme="minorHAnsi"/>
          <w:color w:val="222222"/>
          <w:shd w:val="clear" w:color="auto" w:fill="FFFFFF"/>
        </w:rPr>
        <w:t xml:space="preserve"> Ben </w:t>
      </w:r>
      <w:r w:rsidRPr="009A1579">
        <w:rPr>
          <w:rFonts w:cstheme="minorHAnsi"/>
          <w:color w:val="222222"/>
          <w:shd w:val="clear" w:color="auto" w:fill="FFFFFF"/>
        </w:rPr>
        <w:t xml:space="preserve">Richards, </w:t>
      </w:r>
      <w:r>
        <w:rPr>
          <w:rFonts w:cstheme="minorHAnsi"/>
          <w:color w:val="222222"/>
          <w:shd w:val="clear" w:color="auto" w:fill="FFFFFF"/>
        </w:rPr>
        <w:t xml:space="preserve">Carrie </w:t>
      </w:r>
      <w:r w:rsidRPr="009A1579">
        <w:rPr>
          <w:rFonts w:cstheme="minorHAnsi"/>
          <w:color w:val="222222"/>
          <w:shd w:val="clear" w:color="auto" w:fill="FFFFFF"/>
        </w:rPr>
        <w:t xml:space="preserve">Lau, Weber, A. M., Sun, J., Darmstadt, G. L., </w:t>
      </w:r>
      <w:proofErr w:type="spellStart"/>
      <w:r>
        <w:rPr>
          <w:rFonts w:cstheme="minorHAnsi"/>
          <w:color w:val="222222"/>
          <w:shd w:val="clear" w:color="auto" w:fill="FFFFFF"/>
        </w:rPr>
        <w:t>Sincovich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, A., Bacon-Shone, J., </w:t>
      </w:r>
      <w:r w:rsidRPr="009A1579">
        <w:rPr>
          <w:rFonts w:cstheme="minorHAnsi"/>
          <w:color w:val="222222"/>
          <w:shd w:val="clear" w:color="auto" w:fill="FFFFFF"/>
        </w:rPr>
        <w:t xml:space="preserve">&amp; Ip, P. (2020). </w:t>
      </w:r>
      <w:r w:rsidRPr="009A1579">
        <w:rPr>
          <w:rFonts w:cstheme="minorHAnsi"/>
          <w:i/>
          <w:iCs/>
          <w:color w:val="222222"/>
          <w:shd w:val="clear" w:color="auto" w:fill="FFFFFF"/>
        </w:rPr>
        <w:t>Associations among early stimulation, stunting, and child development in four countries in the East Asia–Pacific</w:t>
      </w:r>
      <w:r w:rsidRPr="009A1579">
        <w:rPr>
          <w:rFonts w:cstheme="minorHAnsi"/>
          <w:color w:val="222222"/>
          <w:shd w:val="clear" w:color="auto" w:fill="FFFFFF"/>
        </w:rPr>
        <w:t>. International Journal of Early Childhood, 52</w:t>
      </w:r>
      <w:r>
        <w:rPr>
          <w:rFonts w:cstheme="minorHAnsi"/>
          <w:color w:val="222222"/>
          <w:shd w:val="clear" w:color="auto" w:fill="FFFFFF"/>
        </w:rPr>
        <w:t>.</w:t>
      </w:r>
    </w:p>
    <w:p w14:paraId="79CE557B" w14:textId="77777777" w:rsidR="009A1579" w:rsidRPr="009A1579" w:rsidRDefault="009A1579" w:rsidP="009A1579">
      <w:pPr>
        <w:pStyle w:val="ListParagraph"/>
        <w:rPr>
          <w:rStyle w:val="Hyperlink"/>
          <w:rFonts w:cstheme="minorHAnsi"/>
          <w:color w:val="auto"/>
          <w:u w:val="none"/>
        </w:rPr>
      </w:pPr>
    </w:p>
    <w:p w14:paraId="21349895" w14:textId="48989DDB" w:rsidR="009A1579" w:rsidRPr="009A1579" w:rsidRDefault="009A1579" w:rsidP="007B745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proofErr w:type="spellStart"/>
      <w:r w:rsidRPr="009A1579">
        <w:rPr>
          <w:rFonts w:cstheme="minorHAnsi"/>
          <w:color w:val="222222"/>
          <w:shd w:val="clear" w:color="auto" w:fill="FFFFFF"/>
        </w:rPr>
        <w:t>Clendon</w:t>
      </w:r>
      <w:proofErr w:type="spellEnd"/>
      <w:r w:rsidRPr="009A1579">
        <w:rPr>
          <w:rFonts w:cstheme="minorHAnsi"/>
          <w:color w:val="222222"/>
          <w:shd w:val="clear" w:color="auto" w:fill="FFFFFF"/>
        </w:rPr>
        <w:t>, J., &amp; Munns, A. (2022). </w:t>
      </w:r>
      <w:r w:rsidRPr="009A1579">
        <w:rPr>
          <w:rFonts w:cstheme="minorHAnsi"/>
          <w:i/>
          <w:iCs/>
          <w:color w:val="222222"/>
          <w:shd w:val="clear" w:color="auto" w:fill="FFFFFF"/>
        </w:rPr>
        <w:t>Community Health and Wellness: Principles of primary health care</w:t>
      </w:r>
      <w:r w:rsidRPr="009A1579">
        <w:rPr>
          <w:rFonts w:cstheme="minorHAnsi"/>
          <w:color w:val="222222"/>
          <w:shd w:val="clear" w:color="auto" w:fill="FFFFFF"/>
        </w:rPr>
        <w:t xml:space="preserve">. </w:t>
      </w:r>
    </w:p>
    <w:p w14:paraId="488B483F" w14:textId="77777777" w:rsidR="009A1579" w:rsidRPr="009A1579" w:rsidRDefault="009A1579" w:rsidP="009A1579">
      <w:pPr>
        <w:pStyle w:val="ListParagraph"/>
        <w:rPr>
          <w:rStyle w:val="Hyperlink"/>
          <w:rFonts w:cstheme="minorHAnsi"/>
          <w:color w:val="auto"/>
          <w:u w:val="none"/>
        </w:rPr>
      </w:pPr>
    </w:p>
    <w:p w14:paraId="7795CAA0" w14:textId="5C637036" w:rsidR="009A1579" w:rsidRPr="009A1579" w:rsidRDefault="009A1579" w:rsidP="007B745F">
      <w:pPr>
        <w:pStyle w:val="ListParagraph"/>
        <w:numPr>
          <w:ilvl w:val="0"/>
          <w:numId w:val="2"/>
        </w:numPr>
        <w:spacing w:line="36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WHO Social Determinants of Health </w:t>
      </w:r>
      <w:r w:rsidRPr="009A1579">
        <w:rPr>
          <w:rStyle w:val="Hyperlink"/>
          <w:rFonts w:cstheme="minorHAnsi"/>
          <w:color w:val="auto"/>
          <w:u w:val="none"/>
        </w:rPr>
        <w:t>https://www.who.int/health-topics/social-determinants-of-health#tab=tab_3</w:t>
      </w:r>
    </w:p>
    <w:p w14:paraId="2A157C39" w14:textId="77777777" w:rsidR="007B745F" w:rsidRDefault="007B745F" w:rsidP="007B745F">
      <w:pPr>
        <w:pStyle w:val="ListParagraph"/>
      </w:pPr>
    </w:p>
    <w:p w14:paraId="74C8BE30" w14:textId="77777777" w:rsidR="007B745F" w:rsidRDefault="007B745F" w:rsidP="006E7291">
      <w:pPr>
        <w:pStyle w:val="ListParagraph"/>
        <w:spacing w:line="360" w:lineRule="auto"/>
      </w:pPr>
    </w:p>
    <w:p w14:paraId="046F2B9B" w14:textId="77777777" w:rsidR="00C430DD" w:rsidRPr="001C571D" w:rsidRDefault="00C430DD" w:rsidP="007E581A">
      <w:pPr>
        <w:pStyle w:val="ListParagraph"/>
        <w:spacing w:line="360" w:lineRule="auto"/>
      </w:pPr>
    </w:p>
    <w:p w14:paraId="3FF47AC7" w14:textId="09F7F1D6" w:rsidR="001C571D" w:rsidRDefault="001C571D" w:rsidP="007E581A">
      <w:pPr>
        <w:spacing w:line="360" w:lineRule="auto"/>
      </w:pPr>
    </w:p>
    <w:sectPr w:rsidR="001C571D" w:rsidSect="00170FAA"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75D1"/>
    <w:multiLevelType w:val="hybridMultilevel"/>
    <w:tmpl w:val="6408D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11226"/>
    <w:multiLevelType w:val="hybridMultilevel"/>
    <w:tmpl w:val="F8B62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91544">
    <w:abstractNumId w:val="1"/>
  </w:num>
  <w:num w:numId="2" w16cid:durableId="105103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0C"/>
    <w:rsid w:val="000211B0"/>
    <w:rsid w:val="0002146E"/>
    <w:rsid w:val="00170FAA"/>
    <w:rsid w:val="00194017"/>
    <w:rsid w:val="001C571D"/>
    <w:rsid w:val="0023552F"/>
    <w:rsid w:val="002748C1"/>
    <w:rsid w:val="002F291D"/>
    <w:rsid w:val="005E0D6D"/>
    <w:rsid w:val="006E7291"/>
    <w:rsid w:val="0071510C"/>
    <w:rsid w:val="00777BE8"/>
    <w:rsid w:val="007B745F"/>
    <w:rsid w:val="007D43BB"/>
    <w:rsid w:val="007E581A"/>
    <w:rsid w:val="008731AC"/>
    <w:rsid w:val="0091077C"/>
    <w:rsid w:val="00970A51"/>
    <w:rsid w:val="009A1579"/>
    <w:rsid w:val="00A054F9"/>
    <w:rsid w:val="00A70B1C"/>
    <w:rsid w:val="00B37AEF"/>
    <w:rsid w:val="00B667C3"/>
    <w:rsid w:val="00B8613E"/>
    <w:rsid w:val="00B94F5B"/>
    <w:rsid w:val="00C430DD"/>
    <w:rsid w:val="00C87B8A"/>
    <w:rsid w:val="00C90FC2"/>
    <w:rsid w:val="00F2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69387"/>
  <w15:chartTrackingRefBased/>
  <w15:docId w15:val="{32477AD8-3CE6-A84E-93D4-19437FB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1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news-room/fact-sheets/detail/e-coli" TargetMode="External"/><Relationship Id="rId5" Type="http://schemas.openxmlformats.org/officeDocument/2006/relationships/hyperlink" Target="https://www.who.int/news-room/fact-sheets/detail/e-c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Havery</dc:creator>
  <cp:keywords/>
  <dc:description/>
  <cp:lastModifiedBy>reviewer</cp:lastModifiedBy>
  <cp:revision>6</cp:revision>
  <dcterms:created xsi:type="dcterms:W3CDTF">2023-09-07T04:55:00Z</dcterms:created>
  <dcterms:modified xsi:type="dcterms:W3CDTF">2023-09-10T23:42:00Z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2023-07-26T02:51:29Z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a5e952bd-d7a9-45c3-b69e-61718ddee47d</vt:lpwstr>
  </property>
  <property fmtid="{D5CDD505-2E9C-101B-9397-08002B2CF9AE}" pid="8" name="MSIP_Label_51a6c3db-1667-4f49-995a-8b9973972958_ContentBits">
    <vt:lpwstr>0</vt:lpwstr>
  </property>
</Properties>
</file>