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8154CA" w:rsidRPr="00434ACB" w14:paraId="4542E236" w14:textId="77777777" w:rsidTr="002C0BA5">
        <w:trPr>
          <w:trHeight w:val="877"/>
        </w:trPr>
        <w:tc>
          <w:tcPr>
            <w:tcW w:w="11056" w:type="dxa"/>
          </w:tcPr>
          <w:p w14:paraId="1D4D6589" w14:textId="26022BFC" w:rsidR="000942B3" w:rsidRPr="006F3299" w:rsidRDefault="00F30038" w:rsidP="006F0193">
            <w:pPr>
              <w:rPr>
                <w:rFonts w:ascii="Arial" w:hAnsi="Arial" w:cs="Arial"/>
                <w:b/>
                <w:sz w:val="40"/>
                <w:szCs w:val="40"/>
              </w:rPr>
            </w:pPr>
            <w:r w:rsidRPr="006F3299">
              <w:rPr>
                <w:rFonts w:ascii="Arial" w:hAnsi="Arial" w:cs="Arial"/>
                <w:b/>
                <w:sz w:val="40"/>
                <w:szCs w:val="40"/>
              </w:rPr>
              <w:t xml:space="preserve">Assessing the impact of </w:t>
            </w:r>
            <w:r w:rsidR="00F160B0" w:rsidRPr="006F3299">
              <w:rPr>
                <w:rFonts w:ascii="Arial" w:hAnsi="Arial" w:cs="Arial"/>
                <w:b/>
                <w:sz w:val="40"/>
                <w:szCs w:val="40"/>
              </w:rPr>
              <w:t xml:space="preserve">Indigenous </w:t>
            </w:r>
            <w:r w:rsidRPr="006F3299">
              <w:rPr>
                <w:rFonts w:ascii="Arial" w:hAnsi="Arial" w:cs="Arial"/>
                <w:b/>
                <w:sz w:val="40"/>
                <w:szCs w:val="40"/>
              </w:rPr>
              <w:t xml:space="preserve">social procurement policies </w:t>
            </w:r>
          </w:p>
          <w:p w14:paraId="66345390" w14:textId="77777777" w:rsidR="00150D31" w:rsidRPr="006F3299" w:rsidRDefault="00150D31" w:rsidP="006F0193">
            <w:pPr>
              <w:rPr>
                <w:rFonts w:ascii="Arial" w:hAnsi="Arial" w:cs="Arial"/>
                <w:sz w:val="40"/>
                <w:szCs w:val="40"/>
              </w:rPr>
            </w:pPr>
          </w:p>
          <w:p w14:paraId="20E486E1" w14:textId="6CC31DC9" w:rsidR="006F3299" w:rsidRPr="006F3299" w:rsidRDefault="006F3299" w:rsidP="006F3299">
            <w:pPr>
              <w:rPr>
                <w:rFonts w:ascii="Arial" w:hAnsi="Arial" w:cs="Arial"/>
              </w:rPr>
            </w:pPr>
            <w:r w:rsidRPr="006F3299">
              <w:rPr>
                <w:rFonts w:ascii="Arial" w:hAnsi="Arial" w:cs="Arial"/>
              </w:rPr>
              <w:t xml:space="preserve">This is the </w:t>
            </w:r>
            <w:r w:rsidRPr="006F3299">
              <w:rPr>
                <w:rFonts w:ascii="Arial" w:hAnsi="Arial" w:cs="Arial"/>
              </w:rPr>
              <w:t>fourth</w:t>
            </w:r>
            <w:r w:rsidRPr="006F3299">
              <w:rPr>
                <w:rFonts w:ascii="Arial" w:hAnsi="Arial" w:cs="Arial"/>
              </w:rPr>
              <w:t xml:space="preserve"> fact-sheet about recent international peer-reviewed social procurement research led by the University of Technology, Sydney, Australia. </w:t>
            </w:r>
          </w:p>
          <w:p w14:paraId="2B0D5F34" w14:textId="3B0A06B0" w:rsidR="008D1F29" w:rsidRPr="006F3299" w:rsidRDefault="008D1F29" w:rsidP="00150D31">
            <w:pPr>
              <w:rPr>
                <w:rFonts w:ascii="Arial" w:hAnsi="Arial" w:cs="Arial"/>
              </w:rPr>
            </w:pPr>
          </w:p>
          <w:p w14:paraId="0AAF5BA4" w14:textId="32196F9A" w:rsidR="008D1F29" w:rsidRPr="006F3299" w:rsidRDefault="00F160B0" w:rsidP="00150D31">
            <w:pPr>
              <w:rPr>
                <w:rFonts w:ascii="Arial" w:hAnsi="Arial" w:cs="Arial"/>
              </w:rPr>
            </w:pPr>
            <w:r w:rsidRPr="006F3299">
              <w:rPr>
                <w:rFonts w:ascii="Arial" w:hAnsi="Arial" w:cs="Arial"/>
              </w:rPr>
              <w:t>This fact sheet introduces a</w:t>
            </w:r>
            <w:r w:rsidR="008D1F29" w:rsidRPr="006F3299">
              <w:rPr>
                <w:rFonts w:ascii="Arial" w:hAnsi="Arial" w:cs="Arial"/>
              </w:rPr>
              <w:t xml:space="preserve"> new framework for evaluating the social impact of Indigenous social procurement policies from the perspectives of Indigenous people.</w:t>
            </w:r>
          </w:p>
          <w:p w14:paraId="14DB2451" w14:textId="360CE1D6" w:rsidR="006F3299" w:rsidRPr="006F3299" w:rsidRDefault="006F3299" w:rsidP="00150D31">
            <w:pPr>
              <w:rPr>
                <w:rFonts w:ascii="Arial" w:hAnsi="Arial" w:cs="Arial"/>
              </w:rPr>
            </w:pPr>
            <w:bookmarkStart w:id="0" w:name="_GoBack"/>
            <w:bookmarkEnd w:id="0"/>
          </w:p>
          <w:p w14:paraId="75767A79" w14:textId="77777777" w:rsidR="006F3299" w:rsidRPr="006F3299" w:rsidRDefault="006F3299" w:rsidP="006F3299">
            <w:pPr>
              <w:rPr>
                <w:rFonts w:ascii="Arial" w:hAnsi="Arial" w:cs="Arial"/>
              </w:rPr>
            </w:pPr>
            <w:r w:rsidRPr="006F3299">
              <w:rPr>
                <w:rFonts w:ascii="Arial" w:hAnsi="Arial" w:cs="Arial"/>
              </w:rPr>
              <w:t>Full research papers are listed at the bottom of the page and available on request. Please feel free to circulate this fact sheet.</w:t>
            </w:r>
          </w:p>
          <w:p w14:paraId="2740A13D" w14:textId="5D456193" w:rsidR="006F3299" w:rsidRPr="006F3299" w:rsidRDefault="006F3299" w:rsidP="00150D31">
            <w:pPr>
              <w:rPr>
                <w:rFonts w:ascii="Arial" w:hAnsi="Arial" w:cs="Arial"/>
              </w:rPr>
            </w:pPr>
          </w:p>
          <w:p w14:paraId="78678167" w14:textId="77777777" w:rsidR="006F3299" w:rsidRPr="006F3299" w:rsidRDefault="006F3299" w:rsidP="006F3299">
            <w:pPr>
              <w:rPr>
                <w:rFonts w:ascii="Arial" w:hAnsi="Arial" w:cs="Arial"/>
                <w:bCs/>
              </w:rPr>
            </w:pPr>
            <w:r w:rsidRPr="006F3299">
              <w:rPr>
                <w:rFonts w:ascii="Arial" w:hAnsi="Arial" w:cs="Arial"/>
                <w:bCs/>
              </w:rPr>
              <w:t>Professor Martin Loosemore</w:t>
            </w:r>
          </w:p>
          <w:p w14:paraId="35DC36BE" w14:textId="77777777" w:rsidR="006F3299" w:rsidRPr="006F3299" w:rsidRDefault="006F3299" w:rsidP="006F3299">
            <w:pPr>
              <w:rPr>
                <w:rFonts w:ascii="Arial" w:hAnsi="Arial" w:cs="Arial"/>
                <w:bCs/>
              </w:rPr>
            </w:pPr>
            <w:r w:rsidRPr="006F3299">
              <w:rPr>
                <w:rFonts w:ascii="Arial" w:hAnsi="Arial" w:cs="Arial"/>
                <w:bCs/>
              </w:rPr>
              <w:t>University of Technology, Sydney</w:t>
            </w:r>
          </w:p>
          <w:p w14:paraId="5C2CE745" w14:textId="77777777" w:rsidR="006F3299" w:rsidRPr="006F3299" w:rsidRDefault="006F3299" w:rsidP="006F3299">
            <w:pPr>
              <w:rPr>
                <w:rFonts w:ascii="Arial" w:hAnsi="Arial" w:cs="Arial"/>
                <w:bCs/>
              </w:rPr>
            </w:pPr>
            <w:hyperlink r:id="rId8" w:history="1">
              <w:r w:rsidRPr="006F3299">
                <w:rPr>
                  <w:rStyle w:val="Hyperlink"/>
                  <w:rFonts w:ascii="Arial" w:hAnsi="Arial" w:cs="Arial"/>
                  <w:bCs/>
                </w:rPr>
                <w:t>https://profiles.uts.edu.au/Martin.Loosemore</w:t>
              </w:r>
            </w:hyperlink>
          </w:p>
          <w:p w14:paraId="49BD3AB7" w14:textId="77777777" w:rsidR="006F3299" w:rsidRPr="006F3299" w:rsidRDefault="006F3299" w:rsidP="00150D31">
            <w:pPr>
              <w:rPr>
                <w:rFonts w:ascii="Arial" w:hAnsi="Arial" w:cs="Arial"/>
              </w:rPr>
            </w:pPr>
          </w:p>
          <w:p w14:paraId="42E423EC" w14:textId="2FB30660" w:rsidR="00150D31" w:rsidRPr="006F3299" w:rsidRDefault="00150D31" w:rsidP="004F5156">
            <w:pPr>
              <w:rPr>
                <w:rFonts w:ascii="Arial" w:hAnsi="Arial" w:cs="Arial"/>
              </w:rPr>
            </w:pPr>
          </w:p>
        </w:tc>
      </w:tr>
      <w:tr w:rsidR="008154CA" w:rsidRPr="00434ACB" w14:paraId="5D74CB0F" w14:textId="77777777" w:rsidTr="002C0BA5">
        <w:trPr>
          <w:trHeight w:val="2719"/>
        </w:trPr>
        <w:tc>
          <w:tcPr>
            <w:tcW w:w="11056" w:type="dxa"/>
          </w:tcPr>
          <w:p w14:paraId="4F46533D" w14:textId="37D63070" w:rsidR="008154CA" w:rsidRPr="006F3299" w:rsidRDefault="008154CA" w:rsidP="00434ACB">
            <w:pPr>
              <w:rPr>
                <w:rFonts w:ascii="Arial" w:hAnsi="Arial" w:cs="Arial"/>
                <w:b/>
                <w:bCs/>
                <w:sz w:val="24"/>
                <w:szCs w:val="24"/>
              </w:rPr>
            </w:pPr>
            <w:r w:rsidRPr="006F3299">
              <w:rPr>
                <w:rFonts w:ascii="Arial" w:hAnsi="Arial" w:cs="Arial"/>
                <w:b/>
                <w:bCs/>
                <w:sz w:val="24"/>
                <w:szCs w:val="24"/>
              </w:rPr>
              <w:t>Why the study</w:t>
            </w:r>
          </w:p>
          <w:p w14:paraId="6E945CB5" w14:textId="04FBB637" w:rsidR="00F30038" w:rsidRPr="006F3299" w:rsidRDefault="00F30038" w:rsidP="000942B3">
            <w:pPr>
              <w:pStyle w:val="ListParagraph"/>
              <w:numPr>
                <w:ilvl w:val="0"/>
                <w:numId w:val="17"/>
              </w:numPr>
              <w:rPr>
                <w:rFonts w:ascii="Arial" w:hAnsi="Arial" w:cs="Arial"/>
                <w:shd w:val="clear" w:color="auto" w:fill="FFFFFF"/>
              </w:rPr>
            </w:pPr>
            <w:r w:rsidRPr="006F3299">
              <w:rPr>
                <w:rFonts w:ascii="Arial" w:hAnsi="Arial" w:cs="Arial"/>
              </w:rPr>
              <w:t xml:space="preserve">Since colonisation the lives of Indigenous Australians have been the subject of often conflicting, </w:t>
            </w:r>
            <w:r w:rsidR="00F160B0" w:rsidRPr="006F3299">
              <w:rPr>
                <w:rFonts w:ascii="Arial" w:hAnsi="Arial" w:cs="Arial"/>
              </w:rPr>
              <w:t>constantly</w:t>
            </w:r>
            <w:r w:rsidRPr="006F3299">
              <w:rPr>
                <w:rFonts w:ascii="Arial" w:hAnsi="Arial" w:cs="Arial"/>
              </w:rPr>
              <w:t xml:space="preserve"> changing and poorly evaluated policies and programmes. </w:t>
            </w:r>
          </w:p>
          <w:p w14:paraId="60230C32" w14:textId="4B08ECA7" w:rsidR="00E26059" w:rsidRPr="006F3299" w:rsidRDefault="00F160B0" w:rsidP="000942B3">
            <w:pPr>
              <w:pStyle w:val="ListParagraph"/>
              <w:numPr>
                <w:ilvl w:val="0"/>
                <w:numId w:val="17"/>
              </w:numPr>
              <w:rPr>
                <w:rFonts w:ascii="Arial" w:hAnsi="Arial" w:cs="Arial"/>
                <w:shd w:val="clear" w:color="auto" w:fill="FFFFFF"/>
              </w:rPr>
            </w:pPr>
            <w:r w:rsidRPr="006F3299">
              <w:rPr>
                <w:rFonts w:ascii="Arial" w:hAnsi="Arial" w:cs="Arial"/>
              </w:rPr>
              <w:t xml:space="preserve">These policies have ‘othered’ </w:t>
            </w:r>
            <w:r w:rsidR="00F30038" w:rsidRPr="006F3299">
              <w:rPr>
                <w:rFonts w:ascii="Arial" w:hAnsi="Arial" w:cs="Arial"/>
              </w:rPr>
              <w:t xml:space="preserve">Indigenous Australians </w:t>
            </w:r>
            <w:r w:rsidRPr="006F3299">
              <w:rPr>
                <w:rFonts w:ascii="Arial" w:hAnsi="Arial" w:cs="Arial"/>
              </w:rPr>
              <w:t>by treating them differently</w:t>
            </w:r>
            <w:r w:rsidR="00F30038" w:rsidRPr="006F3299">
              <w:rPr>
                <w:rFonts w:ascii="Arial" w:hAnsi="Arial" w:cs="Arial"/>
              </w:rPr>
              <w:t xml:space="preserve"> to </w:t>
            </w:r>
            <w:r w:rsidRPr="006F3299">
              <w:rPr>
                <w:rFonts w:ascii="Arial" w:hAnsi="Arial" w:cs="Arial"/>
              </w:rPr>
              <w:t>most</w:t>
            </w:r>
            <w:r w:rsidR="00F30038" w:rsidRPr="006F3299">
              <w:rPr>
                <w:rFonts w:ascii="Arial" w:hAnsi="Arial" w:cs="Arial"/>
              </w:rPr>
              <w:t xml:space="preserve"> Australians. </w:t>
            </w:r>
          </w:p>
          <w:p w14:paraId="56531CF5" w14:textId="1AC49DA3" w:rsidR="006364C2" w:rsidRPr="006F3299" w:rsidRDefault="00F160B0" w:rsidP="000942B3">
            <w:pPr>
              <w:pStyle w:val="ListParagraph"/>
              <w:numPr>
                <w:ilvl w:val="0"/>
                <w:numId w:val="17"/>
              </w:numPr>
              <w:rPr>
                <w:rFonts w:ascii="Arial" w:hAnsi="Arial" w:cs="Arial"/>
                <w:shd w:val="clear" w:color="auto" w:fill="FFFFFF"/>
              </w:rPr>
            </w:pPr>
            <w:r w:rsidRPr="006F3299">
              <w:rPr>
                <w:rFonts w:ascii="Arial" w:hAnsi="Arial" w:cs="Arial"/>
              </w:rPr>
              <w:t>N</w:t>
            </w:r>
            <w:r w:rsidR="006364C2" w:rsidRPr="006F3299">
              <w:rPr>
                <w:rFonts w:ascii="Arial" w:hAnsi="Arial" w:cs="Arial"/>
              </w:rPr>
              <w:t xml:space="preserve">on-Indigenous people have largely decided what was </w:t>
            </w:r>
            <w:r w:rsidR="008220E6" w:rsidRPr="006F3299">
              <w:rPr>
                <w:rFonts w:ascii="Arial" w:hAnsi="Arial" w:cs="Arial"/>
              </w:rPr>
              <w:t>best</w:t>
            </w:r>
            <w:r w:rsidR="006364C2" w:rsidRPr="006F3299">
              <w:rPr>
                <w:rFonts w:ascii="Arial" w:hAnsi="Arial" w:cs="Arial"/>
              </w:rPr>
              <w:t xml:space="preserve"> for </w:t>
            </w:r>
            <w:r w:rsidR="008220E6" w:rsidRPr="006F3299">
              <w:rPr>
                <w:rFonts w:ascii="Arial" w:hAnsi="Arial" w:cs="Arial"/>
              </w:rPr>
              <w:t xml:space="preserve">Indigenous </w:t>
            </w:r>
            <w:r w:rsidR="006364C2" w:rsidRPr="006F3299">
              <w:rPr>
                <w:rFonts w:ascii="Arial" w:hAnsi="Arial" w:cs="Arial"/>
              </w:rPr>
              <w:t xml:space="preserve">people, essentially moving them into </w:t>
            </w:r>
            <w:r w:rsidRPr="006F3299">
              <w:rPr>
                <w:rFonts w:ascii="Arial" w:hAnsi="Arial" w:cs="Arial"/>
              </w:rPr>
              <w:t xml:space="preserve">a </w:t>
            </w:r>
            <w:r w:rsidR="006364C2" w:rsidRPr="006F3299">
              <w:rPr>
                <w:rFonts w:ascii="Arial" w:hAnsi="Arial" w:cs="Arial"/>
              </w:rPr>
              <w:t xml:space="preserve">Western civilisation </w:t>
            </w:r>
            <w:r w:rsidRPr="006F3299">
              <w:rPr>
                <w:rFonts w:ascii="Arial" w:hAnsi="Arial" w:cs="Arial"/>
              </w:rPr>
              <w:t>nuclear family model of</w:t>
            </w:r>
            <w:r w:rsidR="006364C2" w:rsidRPr="006F3299">
              <w:rPr>
                <w:rFonts w:ascii="Arial" w:hAnsi="Arial" w:cs="Arial"/>
              </w:rPr>
              <w:t xml:space="preserve"> </w:t>
            </w:r>
            <w:r w:rsidRPr="006F3299">
              <w:rPr>
                <w:rFonts w:ascii="Arial" w:hAnsi="Arial" w:cs="Arial"/>
              </w:rPr>
              <w:t>existence</w:t>
            </w:r>
            <w:r w:rsidR="006364C2" w:rsidRPr="006F3299">
              <w:rPr>
                <w:rFonts w:ascii="Arial" w:hAnsi="Arial" w:cs="Arial"/>
              </w:rPr>
              <w:t xml:space="preserve">. </w:t>
            </w:r>
          </w:p>
          <w:p w14:paraId="4A308A70" w14:textId="13E895C9" w:rsidR="006364C2" w:rsidRPr="006F3299" w:rsidRDefault="006364C2" w:rsidP="000942B3">
            <w:pPr>
              <w:pStyle w:val="ListParagraph"/>
              <w:numPr>
                <w:ilvl w:val="0"/>
                <w:numId w:val="17"/>
              </w:numPr>
              <w:rPr>
                <w:rFonts w:ascii="Arial" w:hAnsi="Arial" w:cs="Arial"/>
                <w:shd w:val="clear" w:color="auto" w:fill="FFFFFF"/>
              </w:rPr>
            </w:pPr>
            <w:r w:rsidRPr="006F3299">
              <w:rPr>
                <w:rFonts w:ascii="Arial" w:hAnsi="Arial" w:cs="Arial"/>
              </w:rPr>
              <w:t xml:space="preserve">This has meant that to be Indigenous is generally to be in receipt of </w:t>
            </w:r>
            <w:r w:rsidR="008220E6" w:rsidRPr="006F3299">
              <w:rPr>
                <w:rFonts w:ascii="Arial" w:hAnsi="Arial" w:cs="Arial"/>
              </w:rPr>
              <w:t>non-Indigenous</w:t>
            </w:r>
            <w:r w:rsidRPr="006F3299">
              <w:rPr>
                <w:rFonts w:ascii="Arial" w:hAnsi="Arial" w:cs="Arial"/>
              </w:rPr>
              <w:t xml:space="preserve"> ideas, programmes and histories and perceptions of social value. </w:t>
            </w:r>
          </w:p>
          <w:p w14:paraId="658E6D2E" w14:textId="01F12105" w:rsidR="00E26059" w:rsidRPr="006F3299" w:rsidRDefault="00E26059" w:rsidP="000942B3">
            <w:pPr>
              <w:pStyle w:val="ListParagraph"/>
              <w:numPr>
                <w:ilvl w:val="0"/>
                <w:numId w:val="17"/>
              </w:numPr>
              <w:rPr>
                <w:rFonts w:ascii="Arial" w:hAnsi="Arial" w:cs="Arial"/>
                <w:shd w:val="clear" w:color="auto" w:fill="FFFFFF"/>
              </w:rPr>
            </w:pPr>
            <w:r w:rsidRPr="006F3299">
              <w:rPr>
                <w:rFonts w:ascii="Arial" w:hAnsi="Arial" w:cs="Arial"/>
              </w:rPr>
              <w:t xml:space="preserve">Government frameworks such as </w:t>
            </w:r>
            <w:r w:rsidR="00357550" w:rsidRPr="006F3299">
              <w:rPr>
                <w:rFonts w:ascii="Arial" w:hAnsi="Arial" w:cs="Arial"/>
              </w:rPr>
              <w:t>‘</w:t>
            </w:r>
            <w:r w:rsidRPr="006F3299">
              <w:rPr>
                <w:rFonts w:ascii="Arial" w:hAnsi="Arial" w:cs="Arial"/>
              </w:rPr>
              <w:t>Closing the Gap</w:t>
            </w:r>
            <w:r w:rsidR="00357550" w:rsidRPr="006F3299">
              <w:rPr>
                <w:rFonts w:ascii="Arial" w:hAnsi="Arial" w:cs="Arial"/>
              </w:rPr>
              <w:t>’</w:t>
            </w:r>
            <w:r w:rsidRPr="006F3299">
              <w:rPr>
                <w:rFonts w:ascii="Arial" w:hAnsi="Arial" w:cs="Arial"/>
              </w:rPr>
              <w:t xml:space="preserve"> </w:t>
            </w:r>
            <w:r w:rsidR="00357550" w:rsidRPr="006F3299">
              <w:rPr>
                <w:rFonts w:ascii="Arial" w:hAnsi="Arial" w:cs="Arial"/>
              </w:rPr>
              <w:t xml:space="preserve">reinforce this </w:t>
            </w:r>
            <w:r w:rsidR="008220E6" w:rsidRPr="006F3299">
              <w:rPr>
                <w:rFonts w:ascii="Arial" w:hAnsi="Arial" w:cs="Arial"/>
              </w:rPr>
              <w:t xml:space="preserve">approach </w:t>
            </w:r>
            <w:r w:rsidR="00357550" w:rsidRPr="006F3299">
              <w:rPr>
                <w:rFonts w:ascii="Arial" w:hAnsi="Arial" w:cs="Arial"/>
              </w:rPr>
              <w:t xml:space="preserve">by </w:t>
            </w:r>
            <w:r w:rsidRPr="006F3299">
              <w:rPr>
                <w:rFonts w:ascii="Arial" w:hAnsi="Arial" w:cs="Arial"/>
              </w:rPr>
              <w:t>focus</w:t>
            </w:r>
            <w:r w:rsidR="00357550" w:rsidRPr="006F3299">
              <w:rPr>
                <w:rFonts w:ascii="Arial" w:hAnsi="Arial" w:cs="Arial"/>
              </w:rPr>
              <w:t>sing</w:t>
            </w:r>
            <w:r w:rsidRPr="006F3299">
              <w:rPr>
                <w:rFonts w:ascii="Arial" w:hAnsi="Arial" w:cs="Arial"/>
              </w:rPr>
              <w:t xml:space="preserve"> on the deficits of </w:t>
            </w:r>
            <w:r w:rsidR="008220E6" w:rsidRPr="006F3299">
              <w:rPr>
                <w:rFonts w:ascii="Arial" w:hAnsi="Arial" w:cs="Arial"/>
              </w:rPr>
              <w:t>Indigenous</w:t>
            </w:r>
            <w:r w:rsidRPr="006F3299">
              <w:rPr>
                <w:rFonts w:ascii="Arial" w:hAnsi="Arial" w:cs="Arial"/>
              </w:rPr>
              <w:t xml:space="preserve"> people rather than strengths and on overcoming </w:t>
            </w:r>
            <w:r w:rsidR="008220E6" w:rsidRPr="006F3299">
              <w:rPr>
                <w:rFonts w:ascii="Arial" w:hAnsi="Arial" w:cs="Arial"/>
              </w:rPr>
              <w:t>‘</w:t>
            </w:r>
            <w:r w:rsidRPr="006F3299">
              <w:rPr>
                <w:rFonts w:ascii="Arial" w:hAnsi="Arial" w:cs="Arial"/>
              </w:rPr>
              <w:t>Indigenous disadvantage</w:t>
            </w:r>
            <w:r w:rsidR="008220E6" w:rsidRPr="006F3299">
              <w:rPr>
                <w:rFonts w:ascii="Arial" w:hAnsi="Arial" w:cs="Arial"/>
              </w:rPr>
              <w:t>’</w:t>
            </w:r>
            <w:r w:rsidRPr="006F3299">
              <w:rPr>
                <w:rFonts w:ascii="Arial" w:hAnsi="Arial" w:cs="Arial"/>
              </w:rPr>
              <w:t xml:space="preserve">.  This overlooks the inequity </w:t>
            </w:r>
            <w:r w:rsidR="00F160B0" w:rsidRPr="006F3299">
              <w:rPr>
                <w:rFonts w:ascii="Arial" w:hAnsi="Arial" w:cs="Arial"/>
              </w:rPr>
              <w:t>which has resulted from</w:t>
            </w:r>
            <w:r w:rsidRPr="006F3299">
              <w:rPr>
                <w:rFonts w:ascii="Arial" w:hAnsi="Arial" w:cs="Arial"/>
              </w:rPr>
              <w:t xml:space="preserve"> colonisation and locates disadvantage in the failure of Aboriginal people</w:t>
            </w:r>
            <w:r w:rsidR="00357550" w:rsidRPr="006F3299">
              <w:rPr>
                <w:rFonts w:ascii="Arial" w:hAnsi="Arial" w:cs="Arial"/>
              </w:rPr>
              <w:t>.</w:t>
            </w:r>
          </w:p>
          <w:p w14:paraId="32867ABD" w14:textId="1F69EE01" w:rsidR="00E26059" w:rsidRPr="006F3299" w:rsidRDefault="00CC233B" w:rsidP="000942B3">
            <w:pPr>
              <w:pStyle w:val="ListParagraph"/>
              <w:numPr>
                <w:ilvl w:val="0"/>
                <w:numId w:val="17"/>
              </w:numPr>
              <w:rPr>
                <w:rFonts w:ascii="Arial" w:hAnsi="Arial" w:cs="Arial"/>
                <w:shd w:val="clear" w:color="auto" w:fill="FFFFFF"/>
              </w:rPr>
            </w:pPr>
            <w:r w:rsidRPr="006F3299">
              <w:rPr>
                <w:rFonts w:ascii="Arial" w:hAnsi="Arial" w:cs="Arial"/>
              </w:rPr>
              <w:t xml:space="preserve">During the period of Closing the Gap’s implementation and failure, the Australian Government designed and introduced </w:t>
            </w:r>
            <w:r w:rsidR="008220E6" w:rsidRPr="006F3299">
              <w:rPr>
                <w:rFonts w:ascii="Arial" w:hAnsi="Arial" w:cs="Arial"/>
              </w:rPr>
              <w:t xml:space="preserve">the Commonwealth Indigenous Procurement Policy (CIPP) </w:t>
            </w:r>
            <w:r w:rsidRPr="006F3299">
              <w:rPr>
                <w:rFonts w:ascii="Arial" w:hAnsi="Arial" w:cs="Arial"/>
              </w:rPr>
              <w:t xml:space="preserve">in </w:t>
            </w:r>
            <w:r w:rsidR="00F160B0" w:rsidRPr="006F3299">
              <w:rPr>
                <w:rFonts w:ascii="Arial" w:hAnsi="Arial" w:cs="Arial"/>
              </w:rPr>
              <w:t>its</w:t>
            </w:r>
            <w:r w:rsidRPr="006F3299">
              <w:rPr>
                <w:rFonts w:ascii="Arial" w:hAnsi="Arial" w:cs="Arial"/>
              </w:rPr>
              <w:t xml:space="preserve"> attempt to </w:t>
            </w:r>
            <w:r w:rsidR="008220E6" w:rsidRPr="006F3299">
              <w:rPr>
                <w:rFonts w:ascii="Arial" w:hAnsi="Arial" w:cs="Arial"/>
              </w:rPr>
              <w:t xml:space="preserve">engage business in </w:t>
            </w:r>
            <w:r w:rsidRPr="006F3299">
              <w:rPr>
                <w:rFonts w:ascii="Arial" w:hAnsi="Arial" w:cs="Arial"/>
              </w:rPr>
              <w:t>address</w:t>
            </w:r>
            <w:r w:rsidR="008220E6" w:rsidRPr="006F3299">
              <w:rPr>
                <w:rFonts w:ascii="Arial" w:hAnsi="Arial" w:cs="Arial"/>
              </w:rPr>
              <w:t>ing</w:t>
            </w:r>
            <w:r w:rsidRPr="006F3299">
              <w:rPr>
                <w:rFonts w:ascii="Arial" w:hAnsi="Arial" w:cs="Arial"/>
              </w:rPr>
              <w:t xml:space="preserve"> growing inequity between Indigenous and non-Indigenous people. </w:t>
            </w:r>
          </w:p>
          <w:p w14:paraId="1E9E904A" w14:textId="1F5C6BCE" w:rsidR="00357550" w:rsidRPr="006F3299" w:rsidRDefault="00CC233B" w:rsidP="000942B3">
            <w:pPr>
              <w:pStyle w:val="ListParagraph"/>
              <w:numPr>
                <w:ilvl w:val="0"/>
                <w:numId w:val="17"/>
              </w:numPr>
              <w:rPr>
                <w:rFonts w:ascii="Arial" w:hAnsi="Arial" w:cs="Arial"/>
                <w:shd w:val="clear" w:color="auto" w:fill="FFFFFF"/>
              </w:rPr>
            </w:pPr>
            <w:r w:rsidRPr="006F3299">
              <w:rPr>
                <w:rFonts w:ascii="Arial" w:hAnsi="Arial" w:cs="Arial"/>
              </w:rPr>
              <w:t>Indigenous procurement policies require companies tendering for government construction contracts to create “social value” for Indigenous people living in the communities in which they build</w:t>
            </w:r>
            <w:r w:rsidR="00357550" w:rsidRPr="006F3299">
              <w:rPr>
                <w:rFonts w:ascii="Arial" w:hAnsi="Arial" w:cs="Arial"/>
              </w:rPr>
              <w:t>, primarily</w:t>
            </w:r>
            <w:r w:rsidRPr="006F3299">
              <w:rPr>
                <w:rFonts w:ascii="Arial" w:hAnsi="Arial" w:cs="Arial"/>
              </w:rPr>
              <w:t xml:space="preserve"> </w:t>
            </w:r>
            <w:r w:rsidR="00357550" w:rsidRPr="006F3299">
              <w:rPr>
                <w:rFonts w:ascii="Arial" w:hAnsi="Arial" w:cs="Arial"/>
              </w:rPr>
              <w:t>through the provision of employment and business opportunities</w:t>
            </w:r>
            <w:r w:rsidRPr="006F3299">
              <w:rPr>
                <w:rFonts w:ascii="Arial" w:hAnsi="Arial" w:cs="Arial"/>
              </w:rPr>
              <w:t xml:space="preserve">. </w:t>
            </w:r>
          </w:p>
          <w:p w14:paraId="2EE92DEB" w14:textId="7746DA26" w:rsidR="009916E3" w:rsidRPr="006F3299" w:rsidRDefault="00CC233B" w:rsidP="00CC233B">
            <w:pPr>
              <w:pStyle w:val="ListParagraph"/>
              <w:numPr>
                <w:ilvl w:val="0"/>
                <w:numId w:val="17"/>
              </w:numPr>
              <w:rPr>
                <w:rFonts w:ascii="Arial" w:hAnsi="Arial" w:cs="Arial"/>
              </w:rPr>
            </w:pPr>
            <w:r w:rsidRPr="006F3299">
              <w:rPr>
                <w:rFonts w:ascii="Arial" w:hAnsi="Arial" w:cs="Arial"/>
              </w:rPr>
              <w:t>This paper argues that th</w:t>
            </w:r>
            <w:r w:rsidR="00357550" w:rsidRPr="006F3299">
              <w:rPr>
                <w:rFonts w:ascii="Arial" w:hAnsi="Arial" w:cs="Arial"/>
              </w:rPr>
              <w:t>ese policies are unlikely to have their intended social impact if they are</w:t>
            </w:r>
            <w:r w:rsidRPr="006F3299">
              <w:rPr>
                <w:rFonts w:ascii="Arial" w:hAnsi="Arial" w:cs="Arial"/>
              </w:rPr>
              <w:t xml:space="preserve"> removed from Indigenous Australian cultural values, ontologies, epistemologies and lived experiences</w:t>
            </w:r>
            <w:r w:rsidR="008220E6" w:rsidRPr="006F3299">
              <w:rPr>
                <w:rFonts w:ascii="Arial" w:hAnsi="Arial" w:cs="Arial"/>
              </w:rPr>
              <w:t>.</w:t>
            </w:r>
          </w:p>
          <w:p w14:paraId="3D46CF46" w14:textId="48576CA7" w:rsidR="009916E3" w:rsidRPr="006F3299" w:rsidRDefault="00357550" w:rsidP="00CC233B">
            <w:pPr>
              <w:pStyle w:val="ListParagraph"/>
              <w:numPr>
                <w:ilvl w:val="0"/>
                <w:numId w:val="17"/>
              </w:numPr>
              <w:rPr>
                <w:rFonts w:ascii="Arial" w:hAnsi="Arial" w:cs="Arial"/>
              </w:rPr>
            </w:pPr>
            <w:r w:rsidRPr="006F3299">
              <w:rPr>
                <w:rFonts w:ascii="Arial" w:hAnsi="Arial" w:cs="Arial"/>
              </w:rPr>
              <w:t xml:space="preserve">It argues that the ways in which these policies are developed and their success communicated often fails to respect these </w:t>
            </w:r>
            <w:r w:rsidR="008220E6" w:rsidRPr="006F3299">
              <w:rPr>
                <w:rFonts w:ascii="Arial" w:hAnsi="Arial" w:cs="Arial"/>
              </w:rPr>
              <w:t>differences</w:t>
            </w:r>
            <w:r w:rsidRPr="006F3299">
              <w:rPr>
                <w:rFonts w:ascii="Arial" w:hAnsi="Arial" w:cs="Arial"/>
              </w:rPr>
              <w:t>.</w:t>
            </w:r>
            <w:r w:rsidR="009916E3" w:rsidRPr="006F3299">
              <w:rPr>
                <w:rFonts w:ascii="Arial" w:hAnsi="Arial" w:cs="Arial"/>
              </w:rPr>
              <w:t xml:space="preserve"> </w:t>
            </w:r>
          </w:p>
          <w:p w14:paraId="68CC1E8E" w14:textId="2C5E6B4A" w:rsidR="00CC233B" w:rsidRPr="006F3299" w:rsidRDefault="009916E3" w:rsidP="00CC233B">
            <w:pPr>
              <w:pStyle w:val="ListParagraph"/>
              <w:numPr>
                <w:ilvl w:val="0"/>
                <w:numId w:val="17"/>
              </w:numPr>
              <w:rPr>
                <w:rFonts w:ascii="Arial" w:hAnsi="Arial" w:cs="Arial"/>
              </w:rPr>
            </w:pPr>
            <w:r w:rsidRPr="006F3299">
              <w:rPr>
                <w:rFonts w:ascii="Arial" w:hAnsi="Arial" w:cs="Arial"/>
              </w:rPr>
              <w:t>It therefore questions whether these policies are having their intended affect and introduces the notion of ‘cultural counterfactuals’ as a way of allowing for Indigenous values in social impact assessments.</w:t>
            </w:r>
            <w:r w:rsidR="00357550" w:rsidRPr="006F3299">
              <w:rPr>
                <w:rFonts w:ascii="Arial" w:hAnsi="Arial" w:cs="Arial"/>
              </w:rPr>
              <w:t xml:space="preserve"> </w:t>
            </w:r>
          </w:p>
          <w:p w14:paraId="5BF83E24" w14:textId="4C8015AB" w:rsidR="007300FE" w:rsidRPr="006F3299" w:rsidRDefault="00CC233B" w:rsidP="00CC233B">
            <w:pPr>
              <w:pStyle w:val="ListParagraph"/>
              <w:rPr>
                <w:rFonts w:ascii="Arial" w:hAnsi="Arial" w:cs="Arial"/>
              </w:rPr>
            </w:pPr>
            <w:r w:rsidRPr="006F3299">
              <w:rPr>
                <w:rFonts w:ascii="Arial" w:hAnsi="Arial" w:cs="Arial"/>
              </w:rPr>
              <w:t xml:space="preserve"> </w:t>
            </w:r>
          </w:p>
        </w:tc>
      </w:tr>
      <w:tr w:rsidR="008154CA" w:rsidRPr="00434ACB" w14:paraId="53397A3A" w14:textId="77777777" w:rsidTr="002C0BA5">
        <w:trPr>
          <w:trHeight w:val="2120"/>
        </w:trPr>
        <w:tc>
          <w:tcPr>
            <w:tcW w:w="11056" w:type="dxa"/>
          </w:tcPr>
          <w:p w14:paraId="6D2A0291" w14:textId="5D75A7F6" w:rsidR="008154CA" w:rsidRDefault="008154CA" w:rsidP="00434ACB">
            <w:pPr>
              <w:rPr>
                <w:rFonts w:ascii="Arial" w:hAnsi="Arial" w:cs="Arial"/>
                <w:b/>
                <w:bCs/>
                <w:sz w:val="24"/>
                <w:szCs w:val="24"/>
              </w:rPr>
            </w:pPr>
            <w:r w:rsidRPr="00434ACB">
              <w:rPr>
                <w:rFonts w:ascii="Arial" w:hAnsi="Arial" w:cs="Arial"/>
                <w:b/>
                <w:bCs/>
                <w:sz w:val="24"/>
                <w:szCs w:val="24"/>
              </w:rPr>
              <w:t>What we did</w:t>
            </w:r>
          </w:p>
          <w:p w14:paraId="47D2EF10" w14:textId="30DE1D3A" w:rsidR="00A648C1" w:rsidRPr="008220E6" w:rsidRDefault="00A648C1" w:rsidP="00A648C1">
            <w:pPr>
              <w:pStyle w:val="ListParagraph"/>
              <w:numPr>
                <w:ilvl w:val="0"/>
                <w:numId w:val="18"/>
              </w:numPr>
              <w:rPr>
                <w:rFonts w:ascii="Arial" w:hAnsi="Arial" w:cs="Arial"/>
              </w:rPr>
            </w:pPr>
            <w:r w:rsidRPr="008220E6">
              <w:rPr>
                <w:rFonts w:ascii="Arial" w:hAnsi="Arial" w:cs="Arial"/>
              </w:rPr>
              <w:t>We undertook a critical literature review of social procurement in relation to Indigenous peoples</w:t>
            </w:r>
          </w:p>
          <w:p w14:paraId="7E4A3B08" w14:textId="05AA1EF7" w:rsidR="00A648C1" w:rsidRPr="008220E6" w:rsidRDefault="00A648C1" w:rsidP="00A648C1">
            <w:pPr>
              <w:pStyle w:val="ListParagraph"/>
              <w:rPr>
                <w:rFonts w:ascii="Arial" w:hAnsi="Arial" w:cs="Arial"/>
              </w:rPr>
            </w:pPr>
            <w:r w:rsidRPr="008220E6">
              <w:rPr>
                <w:rFonts w:ascii="Arial" w:hAnsi="Arial" w:cs="Arial"/>
              </w:rPr>
              <w:t xml:space="preserve">to </w:t>
            </w:r>
            <w:r w:rsidR="004F5156" w:rsidRPr="008220E6">
              <w:rPr>
                <w:rFonts w:ascii="Arial" w:hAnsi="Arial" w:cs="Arial"/>
              </w:rPr>
              <w:t>develop</w:t>
            </w:r>
            <w:r w:rsidRPr="008220E6">
              <w:rPr>
                <w:rFonts w:ascii="Arial" w:hAnsi="Arial" w:cs="Arial"/>
              </w:rPr>
              <w:t xml:space="preserve"> a new conceptual framework to stimulate discussion of cultural</w:t>
            </w:r>
            <w:r w:rsidR="004F5156" w:rsidRPr="008220E6">
              <w:rPr>
                <w:rFonts w:ascii="Arial" w:hAnsi="Arial" w:cs="Arial"/>
              </w:rPr>
              <w:t xml:space="preserve"> </w:t>
            </w:r>
            <w:r w:rsidRPr="008220E6">
              <w:rPr>
                <w:rFonts w:ascii="Arial" w:hAnsi="Arial" w:cs="Arial"/>
              </w:rPr>
              <w:t>counterfactuals.</w:t>
            </w:r>
          </w:p>
          <w:p w14:paraId="697AEDB5" w14:textId="08C654C3" w:rsidR="00A648C1" w:rsidRPr="008220E6" w:rsidRDefault="00A648C1" w:rsidP="00A648C1">
            <w:pPr>
              <w:pStyle w:val="ListParagraph"/>
              <w:numPr>
                <w:ilvl w:val="0"/>
                <w:numId w:val="18"/>
              </w:numPr>
              <w:rPr>
                <w:rFonts w:ascii="Arial" w:hAnsi="Arial" w:cs="Arial"/>
              </w:rPr>
            </w:pPr>
            <w:r w:rsidRPr="008220E6">
              <w:rPr>
                <w:rFonts w:ascii="Arial" w:hAnsi="Arial" w:cs="Arial"/>
              </w:rPr>
              <w:t xml:space="preserve">We employed Indigenous Standpoint Theory, </w:t>
            </w:r>
            <w:proofErr w:type="spellStart"/>
            <w:r w:rsidRPr="008220E6">
              <w:rPr>
                <w:rFonts w:ascii="Arial" w:hAnsi="Arial" w:cs="Arial"/>
              </w:rPr>
              <w:t>Ngaa</w:t>
            </w:r>
            <w:proofErr w:type="spellEnd"/>
            <w:r w:rsidRPr="008220E6">
              <w:rPr>
                <w:rFonts w:ascii="Arial" w:hAnsi="Arial" w:cs="Arial"/>
              </w:rPr>
              <w:t>-bi-</w:t>
            </w:r>
            <w:proofErr w:type="spellStart"/>
            <w:r w:rsidRPr="008220E6">
              <w:rPr>
                <w:rFonts w:ascii="Arial" w:hAnsi="Arial" w:cs="Arial"/>
              </w:rPr>
              <w:t>nya</w:t>
            </w:r>
            <w:proofErr w:type="spellEnd"/>
            <w:r w:rsidRPr="008220E6">
              <w:rPr>
                <w:rFonts w:ascii="Arial" w:hAnsi="Arial" w:cs="Arial"/>
              </w:rPr>
              <w:t xml:space="preserve">, </w:t>
            </w:r>
            <w:r w:rsidR="0094226D" w:rsidRPr="008220E6">
              <w:rPr>
                <w:rFonts w:ascii="Arial" w:hAnsi="Arial" w:cs="Arial"/>
              </w:rPr>
              <w:t xml:space="preserve">Indigenous </w:t>
            </w:r>
            <w:r w:rsidRPr="008220E6">
              <w:rPr>
                <w:rFonts w:ascii="Arial" w:hAnsi="Arial" w:cs="Arial"/>
              </w:rPr>
              <w:t xml:space="preserve">Value Theory and Strain Theory as to </w:t>
            </w:r>
            <w:r w:rsidR="0094226D" w:rsidRPr="008220E6">
              <w:rPr>
                <w:rFonts w:ascii="Arial" w:hAnsi="Arial" w:cs="Arial"/>
              </w:rPr>
              <w:t>develop a framework for</w:t>
            </w:r>
            <w:r w:rsidRPr="008220E6">
              <w:rPr>
                <w:rFonts w:ascii="Arial" w:hAnsi="Arial" w:cs="Arial"/>
              </w:rPr>
              <w:t xml:space="preserve"> conceptualising cultural counterfactuals.</w:t>
            </w:r>
          </w:p>
          <w:p w14:paraId="586F122D" w14:textId="07BC5183" w:rsidR="00A648C1" w:rsidRPr="008220E6" w:rsidRDefault="0094226D" w:rsidP="00A648C1">
            <w:pPr>
              <w:pStyle w:val="ListParagraph"/>
              <w:numPr>
                <w:ilvl w:val="0"/>
                <w:numId w:val="18"/>
              </w:numPr>
              <w:rPr>
                <w:rFonts w:ascii="Arial" w:hAnsi="Arial" w:cs="Arial"/>
              </w:rPr>
            </w:pPr>
            <w:r w:rsidRPr="008220E6">
              <w:rPr>
                <w:rFonts w:ascii="Arial" w:hAnsi="Arial" w:cs="Arial"/>
              </w:rPr>
              <w:t xml:space="preserve">This </w:t>
            </w:r>
            <w:r w:rsidR="00480457" w:rsidRPr="008220E6">
              <w:rPr>
                <w:rFonts w:ascii="Arial" w:hAnsi="Arial" w:cs="Arial"/>
              </w:rPr>
              <w:t xml:space="preserve">conceptual </w:t>
            </w:r>
            <w:r w:rsidRPr="008220E6">
              <w:rPr>
                <w:rFonts w:ascii="Arial" w:hAnsi="Arial" w:cs="Arial"/>
              </w:rPr>
              <w:t xml:space="preserve">framework has formed the basis for ongoing empirical </w:t>
            </w:r>
            <w:r w:rsidR="008220E6" w:rsidRPr="008220E6">
              <w:rPr>
                <w:rFonts w:ascii="Arial" w:hAnsi="Arial" w:cs="Arial"/>
              </w:rPr>
              <w:t xml:space="preserve">PhD </w:t>
            </w:r>
            <w:r w:rsidRPr="008220E6">
              <w:rPr>
                <w:rFonts w:ascii="Arial" w:hAnsi="Arial" w:cs="Arial"/>
              </w:rPr>
              <w:t>research with Indigenous construction companies and their employees to better understand the impact of Indigenous social procurement policies from the perspectives of the Indigenous people they are meant to help.</w:t>
            </w:r>
          </w:p>
          <w:p w14:paraId="5ADD5189" w14:textId="6C449E1C" w:rsidR="008220E6" w:rsidRPr="008220E6" w:rsidRDefault="004F5156" w:rsidP="004F5156">
            <w:pPr>
              <w:pStyle w:val="ListParagraph"/>
              <w:numPr>
                <w:ilvl w:val="0"/>
                <w:numId w:val="18"/>
              </w:numPr>
              <w:rPr>
                <w:rFonts w:ascii="Arial" w:hAnsi="Arial" w:cs="Arial"/>
              </w:rPr>
            </w:pPr>
            <w:r w:rsidRPr="008220E6">
              <w:rPr>
                <w:rFonts w:ascii="Arial" w:hAnsi="Arial" w:cs="Arial"/>
              </w:rPr>
              <w:t>This factsheet is a description of the framework</w:t>
            </w:r>
            <w:r w:rsidR="008220E6" w:rsidRPr="008220E6">
              <w:rPr>
                <w:rFonts w:ascii="Arial" w:hAnsi="Arial" w:cs="Arial"/>
              </w:rPr>
              <w:t xml:space="preserve"> alone</w:t>
            </w:r>
            <w:r w:rsidRPr="008220E6">
              <w:rPr>
                <w:rFonts w:ascii="Arial" w:hAnsi="Arial" w:cs="Arial"/>
              </w:rPr>
              <w:t xml:space="preserve">. </w:t>
            </w:r>
          </w:p>
          <w:p w14:paraId="50AE8BE4" w14:textId="06CF542F" w:rsidR="000942B3" w:rsidRPr="0094226D" w:rsidRDefault="004F5156" w:rsidP="004F5156">
            <w:pPr>
              <w:pStyle w:val="ListParagraph"/>
              <w:numPr>
                <w:ilvl w:val="0"/>
                <w:numId w:val="18"/>
              </w:numPr>
              <w:rPr>
                <w:rFonts w:ascii="Arial" w:hAnsi="Arial" w:cs="Arial"/>
                <w:sz w:val="24"/>
                <w:szCs w:val="24"/>
              </w:rPr>
            </w:pPr>
            <w:r w:rsidRPr="008220E6">
              <w:rPr>
                <w:rFonts w:ascii="Arial" w:hAnsi="Arial" w:cs="Arial"/>
              </w:rPr>
              <w:t xml:space="preserve">The outcomes of the </w:t>
            </w:r>
            <w:r w:rsidR="008220E6" w:rsidRPr="008220E6">
              <w:rPr>
                <w:rFonts w:ascii="Arial" w:hAnsi="Arial" w:cs="Arial"/>
              </w:rPr>
              <w:t xml:space="preserve">empirical </w:t>
            </w:r>
            <w:r w:rsidRPr="008220E6">
              <w:rPr>
                <w:rFonts w:ascii="Arial" w:hAnsi="Arial" w:cs="Arial"/>
              </w:rPr>
              <w:t>research have not yet been published in peer reviewed journals and will be reported at a later date when they have been peer-reviewed.</w:t>
            </w:r>
          </w:p>
        </w:tc>
      </w:tr>
      <w:tr w:rsidR="008154CA" w:rsidRPr="00434ACB" w14:paraId="127BB0CC" w14:textId="77777777" w:rsidTr="002C0BA5">
        <w:trPr>
          <w:trHeight w:val="4282"/>
        </w:trPr>
        <w:tc>
          <w:tcPr>
            <w:tcW w:w="11056" w:type="dxa"/>
          </w:tcPr>
          <w:p w14:paraId="2ABA160F" w14:textId="54816E61" w:rsidR="004F2F65" w:rsidRPr="00434ACB" w:rsidRDefault="004F2F65" w:rsidP="004F2F65">
            <w:pPr>
              <w:rPr>
                <w:rFonts w:ascii="Arial" w:hAnsi="Arial" w:cs="Arial"/>
                <w:b/>
                <w:bCs/>
                <w:sz w:val="24"/>
                <w:szCs w:val="24"/>
              </w:rPr>
            </w:pPr>
            <w:r w:rsidRPr="00434ACB">
              <w:rPr>
                <w:rFonts w:ascii="Arial" w:hAnsi="Arial" w:cs="Arial"/>
                <w:b/>
                <w:bCs/>
                <w:sz w:val="24"/>
                <w:szCs w:val="24"/>
              </w:rPr>
              <w:lastRenderedPageBreak/>
              <w:t xml:space="preserve">What we </w:t>
            </w:r>
            <w:r>
              <w:rPr>
                <w:rFonts w:ascii="Arial" w:hAnsi="Arial" w:cs="Arial"/>
                <w:b/>
                <w:bCs/>
                <w:sz w:val="24"/>
                <w:szCs w:val="24"/>
              </w:rPr>
              <w:t>found</w:t>
            </w:r>
          </w:p>
          <w:p w14:paraId="40AD608B" w14:textId="3C0D6F2E" w:rsidR="00EA1D0A" w:rsidRPr="008220E6" w:rsidRDefault="00EA1D0A" w:rsidP="008220E6">
            <w:pPr>
              <w:pStyle w:val="ListParagraph"/>
              <w:numPr>
                <w:ilvl w:val="0"/>
                <w:numId w:val="19"/>
              </w:numPr>
              <w:rPr>
                <w:rFonts w:ascii="Arial" w:hAnsi="Arial" w:cs="Arial"/>
              </w:rPr>
            </w:pPr>
            <w:r w:rsidRPr="008220E6">
              <w:rPr>
                <w:rFonts w:ascii="Arial" w:hAnsi="Arial" w:cs="Arial"/>
              </w:rPr>
              <w:t xml:space="preserve">Evaluations are rarely, if ever, built into the design of Indigenous policies or programmes, and they are too often under-taken as an afterthought, </w:t>
            </w:r>
            <w:r w:rsidR="008220E6">
              <w:rPr>
                <w:rFonts w:ascii="Arial" w:hAnsi="Arial" w:cs="Arial"/>
              </w:rPr>
              <w:t xml:space="preserve">with little consultation and </w:t>
            </w:r>
            <w:r w:rsidRPr="008220E6">
              <w:rPr>
                <w:rFonts w:ascii="Arial" w:hAnsi="Arial" w:cs="Arial"/>
              </w:rPr>
              <w:t xml:space="preserve">with insufficient time or resources set aside for </w:t>
            </w:r>
            <w:r w:rsidR="005D447F">
              <w:rPr>
                <w:rFonts w:ascii="Arial" w:hAnsi="Arial" w:cs="Arial"/>
              </w:rPr>
              <w:t>deep insights.</w:t>
            </w:r>
          </w:p>
          <w:p w14:paraId="72F3F0F7" w14:textId="71526959" w:rsidR="00EA1D0A" w:rsidRPr="008220E6" w:rsidRDefault="00EA1D0A" w:rsidP="008220E6">
            <w:pPr>
              <w:pStyle w:val="ListParagraph"/>
              <w:numPr>
                <w:ilvl w:val="0"/>
                <w:numId w:val="19"/>
              </w:numPr>
              <w:rPr>
                <w:rFonts w:ascii="Arial" w:hAnsi="Arial" w:cs="Arial"/>
              </w:rPr>
            </w:pPr>
            <w:r w:rsidRPr="008220E6">
              <w:rPr>
                <w:rFonts w:ascii="Arial" w:hAnsi="Arial" w:cs="Arial"/>
              </w:rPr>
              <w:t xml:space="preserve">Existing frameworks used to evaluate various Indigenous programmes </w:t>
            </w:r>
            <w:r w:rsidR="008220E6">
              <w:rPr>
                <w:rFonts w:ascii="Arial" w:hAnsi="Arial" w:cs="Arial"/>
              </w:rPr>
              <w:t xml:space="preserve">have been criticised </w:t>
            </w:r>
            <w:r w:rsidRPr="008220E6">
              <w:rPr>
                <w:rFonts w:ascii="Arial" w:hAnsi="Arial" w:cs="Arial"/>
              </w:rPr>
              <w:t>for being</w:t>
            </w:r>
            <w:r w:rsidR="005D447F">
              <w:rPr>
                <w:rFonts w:ascii="Arial" w:hAnsi="Arial" w:cs="Arial"/>
              </w:rPr>
              <w:t>:</w:t>
            </w:r>
            <w:r w:rsidRPr="008220E6">
              <w:rPr>
                <w:rFonts w:ascii="Arial" w:hAnsi="Arial" w:cs="Arial"/>
              </w:rPr>
              <w:t xml:space="preserve"> too generalised</w:t>
            </w:r>
            <w:r w:rsidR="005D447F">
              <w:rPr>
                <w:rFonts w:ascii="Arial" w:hAnsi="Arial" w:cs="Arial"/>
              </w:rPr>
              <w:t xml:space="preserve"> and ignoring Indigenous cultural diversity</w:t>
            </w:r>
            <w:r w:rsidRPr="008220E6">
              <w:rPr>
                <w:rFonts w:ascii="Arial" w:hAnsi="Arial" w:cs="Arial"/>
              </w:rPr>
              <w:t xml:space="preserve">; conducted by outsiders without </w:t>
            </w:r>
            <w:r w:rsidR="005D447F">
              <w:rPr>
                <w:rFonts w:ascii="Arial" w:hAnsi="Arial" w:cs="Arial"/>
              </w:rPr>
              <w:t xml:space="preserve">adequate </w:t>
            </w:r>
            <w:r w:rsidRPr="008220E6">
              <w:rPr>
                <w:rFonts w:ascii="Arial" w:hAnsi="Arial" w:cs="Arial"/>
              </w:rPr>
              <w:t>consultation</w:t>
            </w:r>
            <w:r w:rsidR="005D447F">
              <w:rPr>
                <w:rFonts w:ascii="Arial" w:hAnsi="Arial" w:cs="Arial"/>
              </w:rPr>
              <w:t xml:space="preserve"> and involvement of Indigenous communities</w:t>
            </w:r>
            <w:r w:rsidRPr="008220E6">
              <w:rPr>
                <w:rFonts w:ascii="Arial" w:hAnsi="Arial" w:cs="Arial"/>
              </w:rPr>
              <w:t>; and perceived as coming from outside the c</w:t>
            </w:r>
            <w:r w:rsidR="005D447F">
              <w:rPr>
                <w:rFonts w:ascii="Arial" w:hAnsi="Arial" w:cs="Arial"/>
              </w:rPr>
              <w:t>ommunity’s interest and control.</w:t>
            </w:r>
          </w:p>
          <w:p w14:paraId="4110981E" w14:textId="3120E2B8" w:rsidR="0094226D" w:rsidRPr="008220E6" w:rsidRDefault="0094226D" w:rsidP="008220E6">
            <w:pPr>
              <w:pStyle w:val="ListParagraph"/>
              <w:numPr>
                <w:ilvl w:val="0"/>
                <w:numId w:val="19"/>
              </w:numPr>
              <w:rPr>
                <w:rFonts w:ascii="Arial" w:hAnsi="Arial" w:cs="Arial"/>
              </w:rPr>
            </w:pPr>
            <w:r w:rsidRPr="008220E6">
              <w:rPr>
                <w:rFonts w:ascii="Arial" w:hAnsi="Arial" w:cs="Arial"/>
              </w:rPr>
              <w:t xml:space="preserve">Claims about the benefits of </w:t>
            </w:r>
            <w:r w:rsidR="008220E6">
              <w:rPr>
                <w:rFonts w:ascii="Arial" w:hAnsi="Arial" w:cs="Arial"/>
              </w:rPr>
              <w:t xml:space="preserve">Indigenous </w:t>
            </w:r>
            <w:r w:rsidRPr="008220E6">
              <w:rPr>
                <w:rFonts w:ascii="Arial" w:hAnsi="Arial" w:cs="Arial"/>
              </w:rPr>
              <w:t xml:space="preserve">social procurement policies are often undermined by a lack of agreed measurement frameworks and clear definitions of </w:t>
            </w:r>
            <w:r w:rsidR="008220E6">
              <w:rPr>
                <w:rFonts w:ascii="Arial" w:hAnsi="Arial" w:cs="Arial"/>
              </w:rPr>
              <w:t xml:space="preserve">Indigenous </w:t>
            </w:r>
            <w:r w:rsidRPr="008220E6">
              <w:rPr>
                <w:rFonts w:ascii="Arial" w:hAnsi="Arial" w:cs="Arial"/>
              </w:rPr>
              <w:t xml:space="preserve">social value. </w:t>
            </w:r>
          </w:p>
          <w:p w14:paraId="52E6FBE2" w14:textId="066018E7" w:rsidR="004F2F65" w:rsidRPr="008220E6" w:rsidRDefault="008220E6" w:rsidP="008220E6">
            <w:pPr>
              <w:pStyle w:val="ListParagraph"/>
              <w:numPr>
                <w:ilvl w:val="0"/>
                <w:numId w:val="19"/>
              </w:numPr>
              <w:rPr>
                <w:rFonts w:ascii="Arial" w:hAnsi="Arial" w:cs="Arial"/>
                <w:sz w:val="24"/>
                <w:szCs w:val="24"/>
              </w:rPr>
            </w:pPr>
            <w:r>
              <w:rPr>
                <w:rFonts w:ascii="Arial" w:hAnsi="Arial" w:cs="Arial"/>
              </w:rPr>
              <w:t>C</w:t>
            </w:r>
            <w:r w:rsidR="0094226D" w:rsidRPr="008220E6">
              <w:rPr>
                <w:rFonts w:ascii="Arial" w:hAnsi="Arial" w:cs="Arial"/>
              </w:rPr>
              <w:t>urrent approaches to impact measurement focus on the reporting of easily measurable “outputs” such as training places and jobs provided rather than more difficult to measure social “outcomes</w:t>
            </w:r>
            <w:r>
              <w:rPr>
                <w:rFonts w:ascii="Arial" w:hAnsi="Arial" w:cs="Arial"/>
              </w:rPr>
              <w:t>.</w:t>
            </w:r>
            <w:r w:rsidR="0094226D" w:rsidRPr="008220E6">
              <w:rPr>
                <w:rFonts w:ascii="Arial" w:hAnsi="Arial" w:cs="Arial"/>
              </w:rPr>
              <w:t>”</w:t>
            </w:r>
            <w:r w:rsidR="0094226D" w:rsidRPr="008220E6">
              <w:rPr>
                <w:rFonts w:ascii="Arial" w:hAnsi="Arial" w:cs="Arial"/>
                <w:sz w:val="24"/>
                <w:szCs w:val="24"/>
              </w:rPr>
              <w:t xml:space="preserve"> </w:t>
            </w:r>
          </w:p>
          <w:p w14:paraId="2E6EE579" w14:textId="4EC7CD72" w:rsidR="0094226D" w:rsidRPr="008220E6" w:rsidRDefault="008220E6" w:rsidP="008220E6">
            <w:pPr>
              <w:pStyle w:val="ListParagraph"/>
              <w:numPr>
                <w:ilvl w:val="0"/>
                <w:numId w:val="19"/>
              </w:numPr>
              <w:rPr>
                <w:rFonts w:ascii="Arial" w:hAnsi="Arial" w:cs="Arial"/>
              </w:rPr>
            </w:pPr>
            <w:r>
              <w:rPr>
                <w:rFonts w:ascii="Arial" w:hAnsi="Arial" w:cs="Arial"/>
              </w:rPr>
              <w:t>P</w:t>
            </w:r>
            <w:r w:rsidR="0094226D" w:rsidRPr="008220E6">
              <w:rPr>
                <w:rFonts w:ascii="Arial" w:hAnsi="Arial" w:cs="Arial"/>
              </w:rPr>
              <w:t xml:space="preserve">eople in a position of power </w:t>
            </w:r>
            <w:r>
              <w:rPr>
                <w:rFonts w:ascii="Arial" w:hAnsi="Arial" w:cs="Arial"/>
              </w:rPr>
              <w:t>typically</w:t>
            </w:r>
            <w:r w:rsidR="0094226D" w:rsidRPr="008220E6">
              <w:rPr>
                <w:rFonts w:ascii="Arial" w:hAnsi="Arial" w:cs="Arial"/>
              </w:rPr>
              <w:t xml:space="preserve"> undertake this measurement and determine what social value is or is not and how it should be measured, and this can omit things that the </w:t>
            </w:r>
            <w:r>
              <w:rPr>
                <w:rFonts w:ascii="Arial" w:hAnsi="Arial" w:cs="Arial"/>
              </w:rPr>
              <w:t xml:space="preserve">Indigenous </w:t>
            </w:r>
            <w:r w:rsidR="0094226D" w:rsidRPr="008220E6">
              <w:rPr>
                <w:rFonts w:ascii="Arial" w:hAnsi="Arial" w:cs="Arial"/>
              </w:rPr>
              <w:t>beneficiaries of social procurement see as being valuable.</w:t>
            </w:r>
          </w:p>
          <w:p w14:paraId="424F6E20" w14:textId="7FC5444B" w:rsidR="0094226D" w:rsidRPr="008220E6" w:rsidRDefault="0094226D" w:rsidP="008220E6">
            <w:pPr>
              <w:pStyle w:val="ListParagraph"/>
              <w:numPr>
                <w:ilvl w:val="0"/>
                <w:numId w:val="19"/>
              </w:numPr>
              <w:rPr>
                <w:rFonts w:ascii="Arial" w:hAnsi="Arial" w:cs="Arial"/>
              </w:rPr>
            </w:pPr>
            <w:r w:rsidRPr="008220E6">
              <w:rPr>
                <w:rFonts w:ascii="Arial" w:hAnsi="Arial" w:cs="Arial"/>
              </w:rPr>
              <w:t xml:space="preserve">This further disempowers and marginalises groups targeted by social procurement and can result in Indigenous voices and priorities being side-lined or co-opted into government rhetoric around </w:t>
            </w:r>
            <w:r w:rsidR="005D447F">
              <w:rPr>
                <w:rFonts w:ascii="Arial" w:hAnsi="Arial" w:cs="Arial"/>
              </w:rPr>
              <w:t>policy success</w:t>
            </w:r>
            <w:r w:rsidRPr="008220E6">
              <w:rPr>
                <w:rFonts w:ascii="Arial" w:hAnsi="Arial" w:cs="Arial"/>
              </w:rPr>
              <w:t>.</w:t>
            </w:r>
          </w:p>
          <w:p w14:paraId="2116271D" w14:textId="0838D660" w:rsidR="0094226D" w:rsidRPr="008220E6" w:rsidRDefault="0094226D" w:rsidP="008220E6">
            <w:pPr>
              <w:pStyle w:val="ListParagraph"/>
              <w:numPr>
                <w:ilvl w:val="0"/>
                <w:numId w:val="19"/>
              </w:numPr>
              <w:rPr>
                <w:rFonts w:ascii="Arial" w:hAnsi="Arial" w:cs="Arial"/>
              </w:rPr>
            </w:pPr>
            <w:r w:rsidRPr="008220E6">
              <w:rPr>
                <w:rFonts w:ascii="Arial" w:hAnsi="Arial" w:cs="Arial"/>
              </w:rPr>
              <w:t xml:space="preserve">There is currently a lack of empirical evidence about the benefits of </w:t>
            </w:r>
            <w:r w:rsidR="008220E6">
              <w:rPr>
                <w:rFonts w:ascii="Arial" w:hAnsi="Arial" w:cs="Arial"/>
              </w:rPr>
              <w:t xml:space="preserve">Indigenous </w:t>
            </w:r>
            <w:r w:rsidRPr="008220E6">
              <w:rPr>
                <w:rFonts w:ascii="Arial" w:hAnsi="Arial" w:cs="Arial"/>
              </w:rPr>
              <w:t>social procurement compared to traditional government interventions. Despite claims a</w:t>
            </w:r>
            <w:r w:rsidR="005D447F">
              <w:rPr>
                <w:rFonts w:ascii="Arial" w:hAnsi="Arial" w:cs="Arial"/>
              </w:rPr>
              <w:t>bout</w:t>
            </w:r>
            <w:r w:rsidRPr="008220E6">
              <w:rPr>
                <w:rFonts w:ascii="Arial" w:hAnsi="Arial" w:cs="Arial"/>
              </w:rPr>
              <w:t xml:space="preserve"> benefits, some authors warn of potential negative consequences such as market distortions which can disadvantaged Indigenous businesses, removal of people from communities to take up employment opportunities, exposure to discrimination and financial costs associated with transport and accommodation etc.</w:t>
            </w:r>
          </w:p>
          <w:p w14:paraId="3E15815B" w14:textId="15223E04" w:rsidR="00EA1D0A" w:rsidRPr="008220E6" w:rsidRDefault="00EA1D0A" w:rsidP="00374D12">
            <w:pPr>
              <w:pStyle w:val="ListParagraph"/>
              <w:numPr>
                <w:ilvl w:val="0"/>
                <w:numId w:val="19"/>
              </w:numPr>
              <w:rPr>
                <w:rFonts w:ascii="Arial" w:hAnsi="Arial" w:cs="Arial"/>
              </w:rPr>
            </w:pPr>
            <w:r w:rsidRPr="008220E6">
              <w:rPr>
                <w:rFonts w:ascii="Arial" w:hAnsi="Arial" w:cs="Arial"/>
              </w:rPr>
              <w:t xml:space="preserve">The construction industry has its own unique </w:t>
            </w:r>
            <w:r w:rsidR="005D447F">
              <w:rPr>
                <w:rFonts w:ascii="Arial" w:hAnsi="Arial" w:cs="Arial"/>
              </w:rPr>
              <w:t>characteristics</w:t>
            </w:r>
            <w:r w:rsidRPr="008220E6">
              <w:rPr>
                <w:rFonts w:ascii="Arial" w:hAnsi="Arial" w:cs="Arial"/>
              </w:rPr>
              <w:t xml:space="preserve"> which may be counterproductive to Indigenous social value creation. Significant levels of racism and discrimination have been reported on construction projects towards minority groups. Although the construction industry operates in remote communities, construction is an inherently site-specific, project-based activity, which creates a nomadic lifestyle likely to cause strain for Indigenous people</w:t>
            </w:r>
            <w:r w:rsidR="00374D12">
              <w:rPr>
                <w:rFonts w:ascii="Arial" w:hAnsi="Arial" w:cs="Arial"/>
              </w:rPr>
              <w:t>,</w:t>
            </w:r>
            <w:r w:rsidRPr="008220E6">
              <w:rPr>
                <w:rFonts w:ascii="Arial" w:hAnsi="Arial" w:cs="Arial"/>
              </w:rPr>
              <w:t xml:space="preserve"> conflicting with Indigenous notions of kinship and connection to country. </w:t>
            </w:r>
            <w:r w:rsidR="00374D12">
              <w:rPr>
                <w:rFonts w:ascii="Arial" w:hAnsi="Arial" w:cs="Arial"/>
              </w:rPr>
              <w:t>T</w:t>
            </w:r>
            <w:r w:rsidRPr="008220E6">
              <w:rPr>
                <w:rFonts w:ascii="Arial" w:hAnsi="Arial" w:cs="Arial"/>
              </w:rPr>
              <w:t>he highly commercial imperatives that drive the industry</w:t>
            </w:r>
            <w:r w:rsidR="00374D12">
              <w:rPr>
                <w:rFonts w:ascii="Arial" w:hAnsi="Arial" w:cs="Arial"/>
              </w:rPr>
              <w:t xml:space="preserve"> can also</w:t>
            </w:r>
            <w:r w:rsidRPr="008220E6">
              <w:rPr>
                <w:rFonts w:ascii="Arial" w:hAnsi="Arial" w:cs="Arial"/>
              </w:rPr>
              <w:t xml:space="preserve"> subjugate people to be just another expendable resource to be managed to maximum efficiency</w:t>
            </w:r>
            <w:r w:rsidR="00374D12">
              <w:rPr>
                <w:rFonts w:ascii="Arial" w:hAnsi="Arial" w:cs="Arial"/>
              </w:rPr>
              <w:t xml:space="preserve"> without due regard for cultural traditions. A</w:t>
            </w:r>
            <w:r w:rsidR="00F1002F" w:rsidRPr="008220E6">
              <w:rPr>
                <w:rFonts w:ascii="Arial" w:hAnsi="Arial" w:cs="Arial"/>
              </w:rPr>
              <w:t xml:space="preserve"> culture of presentism and long work hours on construction projects is also likely to prevent Indigenous people from attending important community or family events, leading to a sense of disconnect from community.</w:t>
            </w:r>
          </w:p>
          <w:p w14:paraId="51479EA0" w14:textId="0FF1F91F" w:rsidR="000F3B0F" w:rsidRPr="008220E6" w:rsidRDefault="0094226D" w:rsidP="008220E6">
            <w:pPr>
              <w:pStyle w:val="ListParagraph"/>
              <w:numPr>
                <w:ilvl w:val="0"/>
                <w:numId w:val="19"/>
              </w:numPr>
              <w:rPr>
                <w:rFonts w:ascii="Arial" w:hAnsi="Arial" w:cs="Arial"/>
              </w:rPr>
            </w:pPr>
            <w:r w:rsidRPr="008220E6">
              <w:rPr>
                <w:rFonts w:ascii="Arial" w:hAnsi="Arial" w:cs="Arial"/>
              </w:rPr>
              <w:t xml:space="preserve">In Australia, success of the CIPP is assessed on two key </w:t>
            </w:r>
            <w:r w:rsidR="009E4BFE" w:rsidRPr="008220E6">
              <w:rPr>
                <w:rFonts w:ascii="Arial" w:hAnsi="Arial" w:cs="Arial"/>
              </w:rPr>
              <w:t xml:space="preserve">financial </w:t>
            </w:r>
            <w:r w:rsidRPr="008220E6">
              <w:rPr>
                <w:rFonts w:ascii="Arial" w:hAnsi="Arial" w:cs="Arial"/>
              </w:rPr>
              <w:t xml:space="preserve">performance indicators which overlook what </w:t>
            </w:r>
            <w:r w:rsidR="009E4BFE" w:rsidRPr="008220E6">
              <w:rPr>
                <w:rFonts w:ascii="Arial" w:hAnsi="Arial" w:cs="Arial"/>
              </w:rPr>
              <w:t xml:space="preserve">social </w:t>
            </w:r>
            <w:r w:rsidRPr="008220E6">
              <w:rPr>
                <w:rFonts w:ascii="Arial" w:hAnsi="Arial" w:cs="Arial"/>
              </w:rPr>
              <w:t xml:space="preserve">value means to Indigenous people </w:t>
            </w:r>
            <w:r w:rsidR="00F1002F" w:rsidRPr="008220E6">
              <w:rPr>
                <w:rFonts w:ascii="Arial" w:hAnsi="Arial" w:cs="Arial"/>
              </w:rPr>
              <w:t xml:space="preserve">and how this differs from </w:t>
            </w:r>
            <w:r w:rsidR="005D447F">
              <w:rPr>
                <w:rFonts w:ascii="Arial" w:hAnsi="Arial" w:cs="Arial"/>
              </w:rPr>
              <w:t>W</w:t>
            </w:r>
            <w:r w:rsidR="00F1002F" w:rsidRPr="008220E6">
              <w:rPr>
                <w:rFonts w:ascii="Arial" w:hAnsi="Arial" w:cs="Arial"/>
              </w:rPr>
              <w:t>estern notions of value (see Table below)</w:t>
            </w:r>
            <w:r w:rsidRPr="008220E6">
              <w:rPr>
                <w:rFonts w:ascii="Arial" w:hAnsi="Arial" w:cs="Arial"/>
              </w:rPr>
              <w:t>.</w:t>
            </w:r>
          </w:p>
          <w:p w14:paraId="64B838C4" w14:textId="0A6691CC" w:rsidR="00EA1D0A" w:rsidRDefault="00EA1D0A" w:rsidP="009E4BFE"/>
          <w:p w14:paraId="1BF3E361" w14:textId="45A2ED0F" w:rsidR="00EA1D0A" w:rsidRDefault="00EA1D0A" w:rsidP="009E4BFE">
            <w:r>
              <w:rPr>
                <w:noProof/>
                <w:lang w:eastAsia="en-AU"/>
              </w:rPr>
              <w:drawing>
                <wp:inline distT="0" distB="0" distL="0" distR="0" wp14:anchorId="166D319E" wp14:editId="761533B7">
                  <wp:extent cx="68199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19900" cy="1828800"/>
                          </a:xfrm>
                          <a:prstGeom prst="rect">
                            <a:avLst/>
                          </a:prstGeom>
                        </pic:spPr>
                      </pic:pic>
                    </a:graphicData>
                  </a:graphic>
                </wp:inline>
              </w:drawing>
            </w:r>
          </w:p>
          <w:p w14:paraId="62E83538" w14:textId="77777777" w:rsidR="00EA1D0A" w:rsidRDefault="00EA1D0A" w:rsidP="009E4BFE"/>
          <w:p w14:paraId="679F134A" w14:textId="50EED3A8" w:rsidR="00EA1D0A" w:rsidRDefault="00EA1D0A" w:rsidP="00374D12">
            <w:pPr>
              <w:pStyle w:val="ListParagraph"/>
              <w:numPr>
                <w:ilvl w:val="0"/>
                <w:numId w:val="20"/>
              </w:numPr>
              <w:rPr>
                <w:rFonts w:ascii="Arial" w:hAnsi="Arial" w:cs="Arial"/>
              </w:rPr>
            </w:pPr>
            <w:r w:rsidRPr="00374D12">
              <w:rPr>
                <w:rFonts w:ascii="Arial" w:hAnsi="Arial" w:cs="Arial"/>
              </w:rPr>
              <w:t xml:space="preserve">These cultural </w:t>
            </w:r>
            <w:r w:rsidR="00374D12">
              <w:rPr>
                <w:rFonts w:ascii="Arial" w:hAnsi="Arial" w:cs="Arial"/>
              </w:rPr>
              <w:t>differences (</w:t>
            </w:r>
            <w:r w:rsidRPr="00374D12">
              <w:rPr>
                <w:rFonts w:ascii="Arial" w:hAnsi="Arial" w:cs="Arial"/>
              </w:rPr>
              <w:t>counterfactuals</w:t>
            </w:r>
            <w:r w:rsidR="00374D12">
              <w:rPr>
                <w:rFonts w:ascii="Arial" w:hAnsi="Arial" w:cs="Arial"/>
              </w:rPr>
              <w:t>)</w:t>
            </w:r>
            <w:r w:rsidRPr="00374D12">
              <w:rPr>
                <w:rFonts w:ascii="Arial" w:hAnsi="Arial" w:cs="Arial"/>
              </w:rPr>
              <w:t xml:space="preserve"> need to be considered when measuring the impact of Indigenous social procurement policies on Indigenous people alongside other more traditional types of counterfactuals such as drop-off, attribution and deadweight.</w:t>
            </w:r>
          </w:p>
          <w:p w14:paraId="0C439351" w14:textId="1A2C3708" w:rsidR="00EA1D0A" w:rsidRPr="005D447F" w:rsidRDefault="005D447F" w:rsidP="00882B57">
            <w:pPr>
              <w:pStyle w:val="ListParagraph"/>
              <w:numPr>
                <w:ilvl w:val="0"/>
                <w:numId w:val="20"/>
              </w:numPr>
              <w:rPr>
                <w:rFonts w:ascii="Arial" w:hAnsi="Arial" w:cs="Arial"/>
                <w:sz w:val="24"/>
                <w:szCs w:val="24"/>
              </w:rPr>
            </w:pPr>
            <w:r w:rsidRPr="005D447F">
              <w:rPr>
                <w:rFonts w:ascii="Arial" w:hAnsi="Arial" w:cs="Arial"/>
              </w:rPr>
              <w:t>Indigenous methodological practices also need to be better respected in undertaking policy evaluations</w:t>
            </w:r>
            <w:r>
              <w:rPr>
                <w:rFonts w:ascii="Arial" w:hAnsi="Arial" w:cs="Arial"/>
              </w:rPr>
              <w:t>.</w:t>
            </w:r>
            <w:r w:rsidR="00EA1D0A" w:rsidRPr="005D447F">
              <w:rPr>
                <w:rFonts w:ascii="Arial" w:hAnsi="Arial" w:cs="Arial"/>
              </w:rPr>
              <w:t xml:space="preserve"> </w:t>
            </w:r>
          </w:p>
          <w:p w14:paraId="318D9EE9" w14:textId="77777777" w:rsidR="0094226D" w:rsidRDefault="0094226D" w:rsidP="004F2F65">
            <w:pPr>
              <w:rPr>
                <w:rFonts w:ascii="Arial" w:hAnsi="Arial" w:cs="Arial"/>
                <w:sz w:val="24"/>
                <w:szCs w:val="24"/>
              </w:rPr>
            </w:pPr>
          </w:p>
          <w:p w14:paraId="408021B0" w14:textId="77777777" w:rsidR="00374D12" w:rsidRDefault="00374D12" w:rsidP="004F2F65">
            <w:pPr>
              <w:rPr>
                <w:rFonts w:ascii="Arial" w:hAnsi="Arial" w:cs="Arial"/>
                <w:b/>
                <w:sz w:val="24"/>
                <w:szCs w:val="24"/>
              </w:rPr>
            </w:pPr>
          </w:p>
          <w:p w14:paraId="38F4A5E8" w14:textId="77777777" w:rsidR="005D447F" w:rsidRDefault="005D447F" w:rsidP="004F2F65">
            <w:pPr>
              <w:rPr>
                <w:rFonts w:ascii="Arial" w:hAnsi="Arial" w:cs="Arial"/>
                <w:b/>
                <w:sz w:val="24"/>
                <w:szCs w:val="24"/>
              </w:rPr>
            </w:pPr>
          </w:p>
          <w:p w14:paraId="79D8B68C" w14:textId="77777777" w:rsidR="005D447F" w:rsidRDefault="005D447F" w:rsidP="004F2F65">
            <w:pPr>
              <w:rPr>
                <w:rFonts w:ascii="Arial" w:hAnsi="Arial" w:cs="Arial"/>
                <w:b/>
                <w:sz w:val="24"/>
                <w:szCs w:val="24"/>
              </w:rPr>
            </w:pPr>
          </w:p>
          <w:p w14:paraId="75762940" w14:textId="77777777" w:rsidR="005D447F" w:rsidRDefault="005D447F" w:rsidP="004F2F65">
            <w:pPr>
              <w:rPr>
                <w:rFonts w:ascii="Arial" w:hAnsi="Arial" w:cs="Arial"/>
                <w:b/>
                <w:sz w:val="24"/>
                <w:szCs w:val="24"/>
              </w:rPr>
            </w:pPr>
          </w:p>
          <w:p w14:paraId="5D8EE7D2" w14:textId="09E01AF0" w:rsidR="004F2F65" w:rsidRPr="004F2F65" w:rsidRDefault="004F2F65" w:rsidP="004F2F65">
            <w:pPr>
              <w:rPr>
                <w:rFonts w:ascii="Arial" w:hAnsi="Arial" w:cs="Arial"/>
                <w:b/>
                <w:sz w:val="24"/>
                <w:szCs w:val="24"/>
              </w:rPr>
            </w:pPr>
            <w:r w:rsidRPr="004F2F65">
              <w:rPr>
                <w:rFonts w:ascii="Arial" w:hAnsi="Arial" w:cs="Arial"/>
                <w:b/>
                <w:sz w:val="24"/>
                <w:szCs w:val="24"/>
              </w:rPr>
              <w:lastRenderedPageBreak/>
              <w:t>What this means</w:t>
            </w:r>
          </w:p>
          <w:p w14:paraId="1A3A821C" w14:textId="511961B4" w:rsidR="00F1002F" w:rsidRDefault="00F1002F" w:rsidP="004F2F65">
            <w:pPr>
              <w:rPr>
                <w:rFonts w:ascii="Arial" w:hAnsi="Arial" w:cs="Arial"/>
              </w:rPr>
            </w:pPr>
            <w:r>
              <w:rPr>
                <w:rFonts w:ascii="Arial" w:hAnsi="Arial" w:cs="Arial"/>
              </w:rPr>
              <w:t>The research</w:t>
            </w:r>
            <w:r w:rsidRPr="00F1002F">
              <w:rPr>
                <w:rFonts w:ascii="Arial" w:hAnsi="Arial" w:cs="Arial"/>
              </w:rPr>
              <w:t xml:space="preserve"> presents a </w:t>
            </w:r>
            <w:r>
              <w:rPr>
                <w:rFonts w:ascii="Arial" w:hAnsi="Arial" w:cs="Arial"/>
              </w:rPr>
              <w:t>new framework of cultural counter</w:t>
            </w:r>
            <w:r w:rsidRPr="00F1002F">
              <w:rPr>
                <w:rFonts w:ascii="Arial" w:hAnsi="Arial" w:cs="Arial"/>
              </w:rPr>
              <w:t xml:space="preserve">factuals which can be used by policymakers </w:t>
            </w:r>
            <w:r>
              <w:rPr>
                <w:rFonts w:ascii="Arial" w:hAnsi="Arial" w:cs="Arial"/>
              </w:rPr>
              <w:t xml:space="preserve">and the construction industry </w:t>
            </w:r>
            <w:r w:rsidRPr="00F1002F">
              <w:rPr>
                <w:rFonts w:ascii="Arial" w:hAnsi="Arial" w:cs="Arial"/>
              </w:rPr>
              <w:t xml:space="preserve">to measure </w:t>
            </w:r>
            <w:r>
              <w:rPr>
                <w:rFonts w:ascii="Arial" w:hAnsi="Arial" w:cs="Arial"/>
              </w:rPr>
              <w:t xml:space="preserve">the </w:t>
            </w:r>
            <w:r w:rsidRPr="00F1002F">
              <w:rPr>
                <w:rFonts w:ascii="Arial" w:hAnsi="Arial" w:cs="Arial"/>
              </w:rPr>
              <w:t xml:space="preserve">social </w:t>
            </w:r>
            <w:r>
              <w:rPr>
                <w:rFonts w:ascii="Arial" w:hAnsi="Arial" w:cs="Arial"/>
              </w:rPr>
              <w:t xml:space="preserve">impact </w:t>
            </w:r>
            <w:r w:rsidRPr="00F1002F">
              <w:rPr>
                <w:rFonts w:ascii="Arial" w:hAnsi="Arial" w:cs="Arial"/>
              </w:rPr>
              <w:t>of Indigenous procurement policies</w:t>
            </w:r>
            <w:r>
              <w:rPr>
                <w:rFonts w:ascii="Arial" w:hAnsi="Arial" w:cs="Arial"/>
              </w:rPr>
              <w:t xml:space="preserve"> from an Indigenous social perspective</w:t>
            </w:r>
            <w:r w:rsidRPr="00F1002F">
              <w:rPr>
                <w:rFonts w:ascii="Arial" w:hAnsi="Arial" w:cs="Arial"/>
              </w:rPr>
              <w:t xml:space="preserve">. </w:t>
            </w:r>
          </w:p>
          <w:p w14:paraId="4370355B" w14:textId="42BBB98D" w:rsidR="00F1002F" w:rsidRDefault="00F1002F" w:rsidP="004F2F65">
            <w:pPr>
              <w:rPr>
                <w:rFonts w:ascii="Arial" w:hAnsi="Arial" w:cs="Arial"/>
              </w:rPr>
            </w:pPr>
          </w:p>
          <w:p w14:paraId="36CA39BA" w14:textId="284131CD" w:rsidR="00F1002F" w:rsidRPr="00440FCA" w:rsidRDefault="00F1002F" w:rsidP="004F2F65">
            <w:pPr>
              <w:rPr>
                <w:rFonts w:ascii="Arial" w:hAnsi="Arial" w:cs="Arial"/>
              </w:rPr>
            </w:pPr>
            <w:r>
              <w:rPr>
                <w:noProof/>
                <w:lang w:eastAsia="en-AU"/>
              </w:rPr>
              <w:drawing>
                <wp:inline distT="0" distB="0" distL="0" distR="0" wp14:anchorId="68204A68" wp14:editId="5FA1C593">
                  <wp:extent cx="3654543" cy="36099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5929" cy="3621223"/>
                          </a:xfrm>
                          <a:prstGeom prst="rect">
                            <a:avLst/>
                          </a:prstGeom>
                        </pic:spPr>
                      </pic:pic>
                    </a:graphicData>
                  </a:graphic>
                </wp:inline>
              </w:drawing>
            </w:r>
          </w:p>
          <w:p w14:paraId="5C98E23F" w14:textId="77777777" w:rsidR="004F2F65" w:rsidRPr="00440FCA" w:rsidRDefault="004F2F65" w:rsidP="004F2F65">
            <w:pPr>
              <w:rPr>
                <w:rFonts w:ascii="Arial" w:hAnsi="Arial" w:cs="Arial"/>
              </w:rPr>
            </w:pPr>
          </w:p>
          <w:p w14:paraId="4289506B" w14:textId="77777777" w:rsidR="003A3381" w:rsidRDefault="00F1002F" w:rsidP="00DF6CAE">
            <w:pPr>
              <w:pStyle w:val="ListParagraph"/>
              <w:numPr>
                <w:ilvl w:val="0"/>
                <w:numId w:val="21"/>
              </w:numPr>
              <w:rPr>
                <w:rFonts w:ascii="Arial" w:hAnsi="Arial" w:cs="Arial"/>
              </w:rPr>
            </w:pPr>
            <w:r w:rsidRPr="003A3381">
              <w:rPr>
                <w:rFonts w:ascii="Arial" w:hAnsi="Arial" w:cs="Arial"/>
              </w:rPr>
              <w:t xml:space="preserve">The framework uses the four </w:t>
            </w:r>
            <w:proofErr w:type="spellStart"/>
            <w:r w:rsidRPr="003A3381">
              <w:rPr>
                <w:rFonts w:ascii="Arial" w:hAnsi="Arial" w:cs="Arial"/>
              </w:rPr>
              <w:t>Ngaa</w:t>
            </w:r>
            <w:proofErr w:type="spellEnd"/>
            <w:r w:rsidRPr="003A3381">
              <w:rPr>
                <w:rFonts w:ascii="Arial" w:hAnsi="Arial" w:cs="Arial"/>
              </w:rPr>
              <w:t>-bi-</w:t>
            </w:r>
            <w:proofErr w:type="spellStart"/>
            <w:r w:rsidRPr="003A3381">
              <w:rPr>
                <w:rFonts w:ascii="Arial" w:hAnsi="Arial" w:cs="Arial"/>
              </w:rPr>
              <w:t>nya</w:t>
            </w:r>
            <w:proofErr w:type="spellEnd"/>
            <w:r w:rsidRPr="003A3381">
              <w:rPr>
                <w:rFonts w:ascii="Arial" w:hAnsi="Arial" w:cs="Arial"/>
              </w:rPr>
              <w:t xml:space="preserve"> domains to highlight the areas to be promoted through procurement</w:t>
            </w:r>
            <w:r w:rsidR="003A3381" w:rsidRPr="003A3381">
              <w:rPr>
                <w:rFonts w:ascii="Arial" w:hAnsi="Arial" w:cs="Arial"/>
              </w:rPr>
              <w:t xml:space="preserve"> over the life cycle of a project.</w:t>
            </w:r>
          </w:p>
          <w:p w14:paraId="4A96AFBB" w14:textId="396A6AA0" w:rsidR="00F1002F" w:rsidRPr="003A3381" w:rsidRDefault="002C0BA5" w:rsidP="00DF6CAE">
            <w:pPr>
              <w:pStyle w:val="ListParagraph"/>
              <w:numPr>
                <w:ilvl w:val="0"/>
                <w:numId w:val="21"/>
              </w:numPr>
              <w:rPr>
                <w:rFonts w:ascii="Arial" w:hAnsi="Arial" w:cs="Arial"/>
              </w:rPr>
            </w:pPr>
            <w:r w:rsidRPr="003A3381">
              <w:rPr>
                <w:rFonts w:ascii="Arial" w:hAnsi="Arial" w:cs="Arial"/>
              </w:rPr>
              <w:t xml:space="preserve">The Table below </w:t>
            </w:r>
            <w:r w:rsidR="00F1002F" w:rsidRPr="003A3381">
              <w:rPr>
                <w:rFonts w:ascii="Arial" w:hAnsi="Arial" w:cs="Arial"/>
              </w:rPr>
              <w:t>gives examples of key questions which stakeholders in each stage of the building procurement life c</w:t>
            </w:r>
            <w:r w:rsidR="003A3381" w:rsidRPr="003A3381">
              <w:rPr>
                <w:rFonts w:ascii="Arial" w:hAnsi="Arial" w:cs="Arial"/>
              </w:rPr>
              <w:t>an</w:t>
            </w:r>
            <w:r w:rsidR="00F1002F" w:rsidRPr="003A3381">
              <w:rPr>
                <w:rFonts w:ascii="Arial" w:hAnsi="Arial" w:cs="Arial"/>
              </w:rPr>
              <w:t xml:space="preserve"> ask to evaluate Indigenous procurement policies. </w:t>
            </w:r>
          </w:p>
          <w:p w14:paraId="607C0FEC" w14:textId="165F355D" w:rsidR="004F2F65" w:rsidRPr="00434ACB" w:rsidRDefault="004F2F65" w:rsidP="003A3381">
            <w:pPr>
              <w:rPr>
                <w:rFonts w:ascii="Arial" w:hAnsi="Arial" w:cs="Arial"/>
                <w:sz w:val="24"/>
                <w:szCs w:val="24"/>
              </w:rPr>
            </w:pPr>
          </w:p>
        </w:tc>
      </w:tr>
      <w:tr w:rsidR="005D447F" w:rsidRPr="00434ACB" w14:paraId="7FEC88DA" w14:textId="77777777" w:rsidTr="002C0BA5">
        <w:trPr>
          <w:trHeight w:val="4282"/>
        </w:trPr>
        <w:tc>
          <w:tcPr>
            <w:tcW w:w="11056" w:type="dxa"/>
          </w:tcPr>
          <w:p w14:paraId="52396BE1" w14:textId="028BDB1B" w:rsidR="005D447F" w:rsidRPr="00434ACB" w:rsidRDefault="003A3381" w:rsidP="004F2F65">
            <w:pPr>
              <w:rPr>
                <w:rFonts w:ascii="Arial" w:hAnsi="Arial" w:cs="Arial"/>
                <w:b/>
                <w:bCs/>
                <w:sz w:val="24"/>
                <w:szCs w:val="24"/>
              </w:rPr>
            </w:pPr>
            <w:r>
              <w:rPr>
                <w:noProof/>
                <w:lang w:eastAsia="en-AU"/>
              </w:rPr>
              <w:lastRenderedPageBreak/>
              <w:drawing>
                <wp:inline distT="0" distB="0" distL="0" distR="0" wp14:anchorId="4A6147B1" wp14:editId="11082394">
                  <wp:extent cx="6943725" cy="2343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43725" cy="2343150"/>
                          </a:xfrm>
                          <a:prstGeom prst="rect">
                            <a:avLst/>
                          </a:prstGeom>
                        </pic:spPr>
                      </pic:pic>
                    </a:graphicData>
                  </a:graphic>
                </wp:inline>
              </w:drawing>
            </w:r>
          </w:p>
        </w:tc>
      </w:tr>
    </w:tbl>
    <w:p w14:paraId="3FEE6972" w14:textId="688AB26B" w:rsidR="00B77F5E" w:rsidRPr="00434ACB" w:rsidRDefault="00B77F5E" w:rsidP="00434ACB">
      <w:pPr>
        <w:rPr>
          <w:rFonts w:ascii="Arial" w:hAnsi="Arial" w:cs="Arial"/>
          <w:sz w:val="24"/>
          <w:szCs w:val="24"/>
        </w:rPr>
      </w:pPr>
    </w:p>
    <w:sectPr w:rsidR="00B77F5E" w:rsidRPr="00434ACB" w:rsidSect="002A1BCE">
      <w:headerReference w:type="even" r:id="rId12"/>
      <w:headerReference w:type="default" r:id="rId13"/>
      <w:footerReference w:type="even" r:id="rId14"/>
      <w:footerReference w:type="default" r:id="rId15"/>
      <w:headerReference w:type="first" r:id="rId16"/>
      <w:footerReference w:type="first" r:id="rId17"/>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6C01" w14:textId="77777777" w:rsidR="00C30AA2" w:rsidRDefault="00C30AA2" w:rsidP="00B77F5E">
      <w:pPr>
        <w:spacing w:after="0" w:line="240" w:lineRule="auto"/>
      </w:pPr>
      <w:r>
        <w:separator/>
      </w:r>
    </w:p>
  </w:endnote>
  <w:endnote w:type="continuationSeparator" w:id="0">
    <w:p w14:paraId="5C554A63" w14:textId="77777777" w:rsidR="00C30AA2" w:rsidRDefault="00C30AA2"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6946" w14:textId="77777777" w:rsidR="00F160B0" w:rsidRDefault="00F16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5F39" w14:textId="59B0530C" w:rsidR="007E73E8" w:rsidRDefault="00842960" w:rsidP="004F2F65">
    <w:pPr>
      <w:spacing w:after="0" w:line="240" w:lineRule="auto"/>
      <w:rPr>
        <w:rFonts w:ascii="Georgia" w:hAnsi="Georgia"/>
        <w:sz w:val="18"/>
        <w:szCs w:val="18"/>
      </w:rPr>
    </w:pPr>
    <w:r w:rsidRPr="004F2F65">
      <w:rPr>
        <w:rFonts w:ascii="Georgia" w:hAnsi="Georgia"/>
        <w:sz w:val="18"/>
        <w:szCs w:val="18"/>
      </w:rPr>
      <w:t>M</w:t>
    </w:r>
    <w:r w:rsidR="00AE595B" w:rsidRPr="004F2F65">
      <w:rPr>
        <w:rFonts w:ascii="Georgia" w:hAnsi="Georgia"/>
        <w:sz w:val="18"/>
        <w:szCs w:val="18"/>
      </w:rPr>
      <w:t xml:space="preserve">ore information: </w:t>
    </w:r>
  </w:p>
  <w:p w14:paraId="5C6ED1D8" w14:textId="77777777" w:rsidR="007E73E8" w:rsidRDefault="007E73E8" w:rsidP="004F2F65">
    <w:pPr>
      <w:spacing w:after="0" w:line="240" w:lineRule="auto"/>
      <w:rPr>
        <w:rFonts w:ascii="Georgia" w:hAnsi="Georgia"/>
        <w:sz w:val="18"/>
        <w:szCs w:val="18"/>
      </w:rPr>
    </w:pPr>
  </w:p>
  <w:p w14:paraId="45AEB05A" w14:textId="2B81995B" w:rsidR="007E73E8" w:rsidRDefault="002C0BA5" w:rsidP="004F2F65">
    <w:pPr>
      <w:spacing w:after="0" w:line="240" w:lineRule="auto"/>
      <w:rPr>
        <w:rFonts w:ascii="Georgia" w:hAnsi="Georgia"/>
        <w:sz w:val="18"/>
        <w:szCs w:val="18"/>
      </w:rPr>
    </w:pPr>
    <w:r w:rsidRPr="002C0BA5">
      <w:rPr>
        <w:rFonts w:ascii="Georgia" w:hAnsi="Georgia"/>
        <w:sz w:val="18"/>
        <w:szCs w:val="18"/>
      </w:rPr>
      <w:t>George Denny-Smith, Megan Williams &amp; Martin Loosemore (2020) Assessing the impact of social procurement policies for Indigenous people, Construction Management and Economics, 38:12, 1139-1157, DOI: 10.1080/01446193.2020.1795217</w:t>
    </w:r>
  </w:p>
  <w:p w14:paraId="25E4F08F" w14:textId="77777777" w:rsidR="002C0BA5" w:rsidRDefault="002C0BA5" w:rsidP="004F2F65">
    <w:pPr>
      <w:spacing w:after="0" w:line="240" w:lineRule="auto"/>
      <w:rPr>
        <w:rFonts w:ascii="Georgia" w:hAnsi="Georg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6ED9" w14:textId="77777777" w:rsidR="00F160B0" w:rsidRDefault="00F16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B308E" w14:textId="77777777" w:rsidR="00C30AA2" w:rsidRDefault="00C30AA2" w:rsidP="00B77F5E">
      <w:pPr>
        <w:spacing w:after="0" w:line="240" w:lineRule="auto"/>
      </w:pPr>
      <w:r>
        <w:separator/>
      </w:r>
    </w:p>
  </w:footnote>
  <w:footnote w:type="continuationSeparator" w:id="0">
    <w:p w14:paraId="5EED4519" w14:textId="77777777" w:rsidR="00C30AA2" w:rsidRDefault="00C30AA2"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37D5" w14:textId="77777777" w:rsidR="00F160B0" w:rsidRDefault="00F16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1EE6" w14:textId="77777777" w:rsidR="00F160B0" w:rsidRDefault="00F16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13E"/>
    <w:multiLevelType w:val="hybridMultilevel"/>
    <w:tmpl w:val="6BCCE6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42D02"/>
    <w:multiLevelType w:val="hybridMultilevel"/>
    <w:tmpl w:val="AA80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57AFC"/>
    <w:multiLevelType w:val="hybridMultilevel"/>
    <w:tmpl w:val="B2562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CA3B0C"/>
    <w:multiLevelType w:val="hybridMultilevel"/>
    <w:tmpl w:val="0C30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60EBD"/>
    <w:multiLevelType w:val="hybridMultilevel"/>
    <w:tmpl w:val="53148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674D7B"/>
    <w:multiLevelType w:val="hybridMultilevel"/>
    <w:tmpl w:val="4AD071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D82AEF"/>
    <w:multiLevelType w:val="hybridMultilevel"/>
    <w:tmpl w:val="998E4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F40967"/>
    <w:multiLevelType w:val="hybridMultilevel"/>
    <w:tmpl w:val="D3CCB10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B37D75"/>
    <w:multiLevelType w:val="hybridMultilevel"/>
    <w:tmpl w:val="9830F3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B771E1"/>
    <w:multiLevelType w:val="hybridMultilevel"/>
    <w:tmpl w:val="018E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91C3B"/>
    <w:multiLevelType w:val="hybridMultilevel"/>
    <w:tmpl w:val="95F2E7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47210"/>
    <w:multiLevelType w:val="hybridMultilevel"/>
    <w:tmpl w:val="46069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90A91"/>
    <w:multiLevelType w:val="hybridMultilevel"/>
    <w:tmpl w:val="35543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940DFF"/>
    <w:multiLevelType w:val="hybridMultilevel"/>
    <w:tmpl w:val="4E04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2A0DE3"/>
    <w:multiLevelType w:val="hybridMultilevel"/>
    <w:tmpl w:val="DB98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1F1D05"/>
    <w:multiLevelType w:val="hybridMultilevel"/>
    <w:tmpl w:val="1422AD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544AFC"/>
    <w:multiLevelType w:val="hybridMultilevel"/>
    <w:tmpl w:val="D5CEF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6D552E"/>
    <w:multiLevelType w:val="hybridMultilevel"/>
    <w:tmpl w:val="FAC4DD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E36EE5"/>
    <w:multiLevelType w:val="hybridMultilevel"/>
    <w:tmpl w:val="75C4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0"/>
  </w:num>
  <w:num w:numId="4">
    <w:abstractNumId w:val="6"/>
  </w:num>
  <w:num w:numId="5">
    <w:abstractNumId w:val="23"/>
  </w:num>
  <w:num w:numId="6">
    <w:abstractNumId w:val="1"/>
  </w:num>
  <w:num w:numId="7">
    <w:abstractNumId w:val="13"/>
  </w:num>
  <w:num w:numId="8">
    <w:abstractNumId w:val="22"/>
  </w:num>
  <w:num w:numId="9">
    <w:abstractNumId w:val="18"/>
  </w:num>
  <w:num w:numId="10">
    <w:abstractNumId w:val="7"/>
  </w:num>
  <w:num w:numId="11">
    <w:abstractNumId w:val="16"/>
  </w:num>
  <w:num w:numId="12">
    <w:abstractNumId w:val="21"/>
  </w:num>
  <w:num w:numId="13">
    <w:abstractNumId w:val="5"/>
  </w:num>
  <w:num w:numId="14">
    <w:abstractNumId w:val="2"/>
  </w:num>
  <w:num w:numId="15">
    <w:abstractNumId w:val="12"/>
  </w:num>
  <w:num w:numId="16">
    <w:abstractNumId w:val="14"/>
  </w:num>
  <w:num w:numId="17">
    <w:abstractNumId w:val="19"/>
  </w:num>
  <w:num w:numId="18">
    <w:abstractNumId w:val="11"/>
  </w:num>
  <w:num w:numId="19">
    <w:abstractNumId w:val="15"/>
  </w:num>
  <w:num w:numId="20">
    <w:abstractNumId w:val="4"/>
  </w:num>
  <w:num w:numId="21">
    <w:abstractNumId w:val="8"/>
  </w:num>
  <w:num w:numId="22">
    <w:abstractNumId w:val="10"/>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15E21"/>
    <w:rsid w:val="00045493"/>
    <w:rsid w:val="0005284C"/>
    <w:rsid w:val="000942B3"/>
    <w:rsid w:val="00095BEB"/>
    <w:rsid w:val="000A16C9"/>
    <w:rsid w:val="000A1BF9"/>
    <w:rsid w:val="000C4C0F"/>
    <w:rsid w:val="000F3B0F"/>
    <w:rsid w:val="001177BF"/>
    <w:rsid w:val="0013168A"/>
    <w:rsid w:val="00147814"/>
    <w:rsid w:val="00150D31"/>
    <w:rsid w:val="00172DA1"/>
    <w:rsid w:val="00173846"/>
    <w:rsid w:val="00184E6B"/>
    <w:rsid w:val="001C47D6"/>
    <w:rsid w:val="001D349D"/>
    <w:rsid w:val="001F2318"/>
    <w:rsid w:val="002015FF"/>
    <w:rsid w:val="00205364"/>
    <w:rsid w:val="00235F5A"/>
    <w:rsid w:val="002426CA"/>
    <w:rsid w:val="00251065"/>
    <w:rsid w:val="00253BE7"/>
    <w:rsid w:val="00263EB8"/>
    <w:rsid w:val="002A1BCE"/>
    <w:rsid w:val="002A2479"/>
    <w:rsid w:val="002A2E47"/>
    <w:rsid w:val="002C0BA5"/>
    <w:rsid w:val="00306A62"/>
    <w:rsid w:val="00312055"/>
    <w:rsid w:val="0031220F"/>
    <w:rsid w:val="0031224B"/>
    <w:rsid w:val="00317A75"/>
    <w:rsid w:val="00320BBD"/>
    <w:rsid w:val="003404F0"/>
    <w:rsid w:val="00357550"/>
    <w:rsid w:val="0036519B"/>
    <w:rsid w:val="003653E9"/>
    <w:rsid w:val="00374D12"/>
    <w:rsid w:val="0039497E"/>
    <w:rsid w:val="003A3381"/>
    <w:rsid w:val="00403E1F"/>
    <w:rsid w:val="00434ACB"/>
    <w:rsid w:val="00440FCA"/>
    <w:rsid w:val="00456420"/>
    <w:rsid w:val="004763FA"/>
    <w:rsid w:val="00480457"/>
    <w:rsid w:val="00486E9C"/>
    <w:rsid w:val="00496841"/>
    <w:rsid w:val="004A4238"/>
    <w:rsid w:val="004C16E5"/>
    <w:rsid w:val="004D21A9"/>
    <w:rsid w:val="004E5ACF"/>
    <w:rsid w:val="004F2F65"/>
    <w:rsid w:val="004F5156"/>
    <w:rsid w:val="005059CC"/>
    <w:rsid w:val="00513D22"/>
    <w:rsid w:val="00534AA0"/>
    <w:rsid w:val="005505A8"/>
    <w:rsid w:val="00552916"/>
    <w:rsid w:val="00554B81"/>
    <w:rsid w:val="0056777A"/>
    <w:rsid w:val="005715C2"/>
    <w:rsid w:val="00582E78"/>
    <w:rsid w:val="005C6061"/>
    <w:rsid w:val="005D447F"/>
    <w:rsid w:val="005D62D5"/>
    <w:rsid w:val="00616D26"/>
    <w:rsid w:val="00631BEB"/>
    <w:rsid w:val="006364C2"/>
    <w:rsid w:val="00640F53"/>
    <w:rsid w:val="00641B78"/>
    <w:rsid w:val="006457FC"/>
    <w:rsid w:val="00687CBD"/>
    <w:rsid w:val="006947D8"/>
    <w:rsid w:val="006F0193"/>
    <w:rsid w:val="006F3299"/>
    <w:rsid w:val="006F4350"/>
    <w:rsid w:val="007047FE"/>
    <w:rsid w:val="00706520"/>
    <w:rsid w:val="00716B8D"/>
    <w:rsid w:val="007300FE"/>
    <w:rsid w:val="007350AC"/>
    <w:rsid w:val="007420F9"/>
    <w:rsid w:val="0076672E"/>
    <w:rsid w:val="00791F89"/>
    <w:rsid w:val="007A5DB8"/>
    <w:rsid w:val="007C238D"/>
    <w:rsid w:val="007D5EE1"/>
    <w:rsid w:val="007D6A9A"/>
    <w:rsid w:val="007E4603"/>
    <w:rsid w:val="007E73E8"/>
    <w:rsid w:val="008154CA"/>
    <w:rsid w:val="008220E6"/>
    <w:rsid w:val="00824A20"/>
    <w:rsid w:val="00842960"/>
    <w:rsid w:val="00887AC9"/>
    <w:rsid w:val="008D1F29"/>
    <w:rsid w:val="008E71EF"/>
    <w:rsid w:val="008E754F"/>
    <w:rsid w:val="0090223E"/>
    <w:rsid w:val="00926404"/>
    <w:rsid w:val="0094226D"/>
    <w:rsid w:val="00962CDF"/>
    <w:rsid w:val="00971D8F"/>
    <w:rsid w:val="009916E3"/>
    <w:rsid w:val="00991747"/>
    <w:rsid w:val="009925C8"/>
    <w:rsid w:val="00996EF0"/>
    <w:rsid w:val="009B78F2"/>
    <w:rsid w:val="009C22B0"/>
    <w:rsid w:val="009C4DEB"/>
    <w:rsid w:val="009D1EE9"/>
    <w:rsid w:val="009E4BFE"/>
    <w:rsid w:val="009F1307"/>
    <w:rsid w:val="00A064D1"/>
    <w:rsid w:val="00A648C1"/>
    <w:rsid w:val="00A83703"/>
    <w:rsid w:val="00AA0EE4"/>
    <w:rsid w:val="00AE1420"/>
    <w:rsid w:val="00AE595B"/>
    <w:rsid w:val="00AE7D0D"/>
    <w:rsid w:val="00AE7DF8"/>
    <w:rsid w:val="00AF7402"/>
    <w:rsid w:val="00B01420"/>
    <w:rsid w:val="00B01724"/>
    <w:rsid w:val="00B14790"/>
    <w:rsid w:val="00B151DD"/>
    <w:rsid w:val="00B219CE"/>
    <w:rsid w:val="00B77F5E"/>
    <w:rsid w:val="00B8254B"/>
    <w:rsid w:val="00B90646"/>
    <w:rsid w:val="00BB06C1"/>
    <w:rsid w:val="00BB7D88"/>
    <w:rsid w:val="00BF111C"/>
    <w:rsid w:val="00C03FF4"/>
    <w:rsid w:val="00C12803"/>
    <w:rsid w:val="00C26104"/>
    <w:rsid w:val="00C30AA2"/>
    <w:rsid w:val="00C5379F"/>
    <w:rsid w:val="00C739DF"/>
    <w:rsid w:val="00C923D6"/>
    <w:rsid w:val="00C94444"/>
    <w:rsid w:val="00CB794E"/>
    <w:rsid w:val="00CC233B"/>
    <w:rsid w:val="00CD5F7E"/>
    <w:rsid w:val="00CE67E0"/>
    <w:rsid w:val="00CF6ABB"/>
    <w:rsid w:val="00D05581"/>
    <w:rsid w:val="00D37430"/>
    <w:rsid w:val="00D8327E"/>
    <w:rsid w:val="00D951DA"/>
    <w:rsid w:val="00D96003"/>
    <w:rsid w:val="00DF552A"/>
    <w:rsid w:val="00E247A9"/>
    <w:rsid w:val="00E26059"/>
    <w:rsid w:val="00E27855"/>
    <w:rsid w:val="00E33B36"/>
    <w:rsid w:val="00E407E2"/>
    <w:rsid w:val="00E5130C"/>
    <w:rsid w:val="00E95EEB"/>
    <w:rsid w:val="00EA1D0A"/>
    <w:rsid w:val="00EA47B9"/>
    <w:rsid w:val="00EB632F"/>
    <w:rsid w:val="00EE2BAE"/>
    <w:rsid w:val="00EE5CCC"/>
    <w:rsid w:val="00F1002F"/>
    <w:rsid w:val="00F1299A"/>
    <w:rsid w:val="00F13E4B"/>
    <w:rsid w:val="00F16044"/>
    <w:rsid w:val="00F160B0"/>
    <w:rsid w:val="00F22307"/>
    <w:rsid w:val="00F25254"/>
    <w:rsid w:val="00F30038"/>
    <w:rsid w:val="00F5006A"/>
    <w:rsid w:val="00F841E6"/>
    <w:rsid w:val="00FA13DA"/>
    <w:rsid w:val="00FB6E68"/>
    <w:rsid w:val="00FD2462"/>
    <w:rsid w:val="00FE6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1C47D6"/>
    <w:rPr>
      <w:color w:val="954F72" w:themeColor="followedHyperlink"/>
      <w:u w:val="single"/>
    </w:rPr>
  </w:style>
  <w:style w:type="character" w:styleId="Emphasis">
    <w:name w:val="Emphasis"/>
    <w:basedOn w:val="DefaultParagraphFont"/>
    <w:uiPriority w:val="20"/>
    <w:qFormat/>
    <w:rsid w:val="004F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uts.edu.au/Martin.Loosemor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CDE7-3B8A-4A3C-BECE-2AF679A0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18</cp:revision>
  <dcterms:created xsi:type="dcterms:W3CDTF">2021-12-19T04:53:00Z</dcterms:created>
  <dcterms:modified xsi:type="dcterms:W3CDTF">2022-08-16T22:55:00Z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2021-05-28T03:44:38Z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7443d677-1f94-4bd5-aa2e-5aaa46041ac2</vt:lpwstr>
  </property>
  <property fmtid="{D5CDD505-2E9C-101B-9397-08002B2CF9AE}" pid="8" name="MSIP_Label_51a6c3db-1667-4f49-995a-8b9973972958_ContentBits">
    <vt:lpwstr>0</vt:lpwstr>
  </property>
</Properties>
</file>