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8154CA" w:rsidRPr="00434ACB" w14:paraId="4542E236" w14:textId="77777777" w:rsidTr="008154CA">
        <w:trPr>
          <w:trHeight w:val="877"/>
        </w:trPr>
        <w:tc>
          <w:tcPr>
            <w:tcW w:w="11046" w:type="dxa"/>
          </w:tcPr>
          <w:p w14:paraId="4FE49FD0" w14:textId="77777777" w:rsidR="005715C2" w:rsidRPr="008620CF" w:rsidRDefault="005715C2" w:rsidP="00571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70D13" w14:textId="6F95ADE9" w:rsidR="00AE7DF8" w:rsidRPr="00AE7DF8" w:rsidRDefault="00312055" w:rsidP="00AE7DF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Integrating ex-offenders into the </w:t>
            </w:r>
            <w:r w:rsidR="004F2F65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Australian </w:t>
            </w:r>
            <w:r w:rsidR="00AE7DF8" w:rsidRPr="00AE7DF8">
              <w:rPr>
                <w:rFonts w:ascii="Arial" w:hAnsi="Arial" w:cs="Arial"/>
                <w:b/>
                <w:bCs/>
                <w:sz w:val="40"/>
                <w:szCs w:val="40"/>
              </w:rPr>
              <w:t>construction</w:t>
            </w:r>
            <w:r w:rsidR="00306A6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industry</w:t>
            </w:r>
          </w:p>
          <w:p w14:paraId="2731EF4D" w14:textId="77777777" w:rsidR="005715C2" w:rsidRPr="008620CF" w:rsidRDefault="005715C2" w:rsidP="00571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F0732" w14:textId="5EE40086" w:rsidR="00D26706" w:rsidRPr="008532EA" w:rsidRDefault="00D26706" w:rsidP="00D26706">
            <w:pPr>
              <w:rPr>
                <w:rFonts w:ascii="Arial" w:hAnsi="Arial" w:cs="Arial"/>
              </w:rPr>
            </w:pPr>
            <w:r w:rsidRPr="008532EA">
              <w:rPr>
                <w:rFonts w:ascii="Arial" w:hAnsi="Arial" w:cs="Arial"/>
              </w:rPr>
              <w:t xml:space="preserve">This is the </w:t>
            </w:r>
            <w:r>
              <w:rPr>
                <w:rFonts w:ascii="Arial" w:hAnsi="Arial" w:cs="Arial"/>
              </w:rPr>
              <w:t>third</w:t>
            </w:r>
            <w:r w:rsidRPr="008532EA">
              <w:rPr>
                <w:rFonts w:ascii="Arial" w:hAnsi="Arial" w:cs="Arial"/>
              </w:rPr>
              <w:t xml:space="preserve"> fact-sheet about recent international peer-reviewed social procurement research led by </w:t>
            </w:r>
            <w:r>
              <w:rPr>
                <w:rFonts w:ascii="Arial" w:hAnsi="Arial" w:cs="Arial"/>
              </w:rPr>
              <w:t xml:space="preserve">the </w:t>
            </w:r>
            <w:r w:rsidRPr="008532EA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niversity of Technology, Sydney, Australia</w:t>
            </w:r>
            <w:r w:rsidRPr="008532EA">
              <w:rPr>
                <w:rFonts w:ascii="Arial" w:hAnsi="Arial" w:cs="Arial"/>
              </w:rPr>
              <w:t xml:space="preserve">. </w:t>
            </w:r>
          </w:p>
          <w:p w14:paraId="017693E2" w14:textId="472BC08D" w:rsidR="005715C2" w:rsidRPr="00440FCA" w:rsidRDefault="005715C2" w:rsidP="005715C2">
            <w:pPr>
              <w:rPr>
                <w:rFonts w:ascii="Arial" w:hAnsi="Arial" w:cs="Arial"/>
              </w:rPr>
            </w:pPr>
          </w:p>
          <w:p w14:paraId="778E109A" w14:textId="1236CBA8" w:rsidR="004F2F65" w:rsidRDefault="004F2F65" w:rsidP="004F2F65">
            <w:pPr>
              <w:rPr>
                <w:rFonts w:ascii="Arial" w:hAnsi="Arial" w:cs="Arial"/>
              </w:rPr>
            </w:pPr>
            <w:r w:rsidRPr="00440FCA">
              <w:rPr>
                <w:rFonts w:ascii="Arial" w:eastAsia="Times New Roman" w:hAnsi="Arial" w:cs="Arial"/>
              </w:rPr>
              <w:t xml:space="preserve">This research set out to explore </w:t>
            </w:r>
            <w:r w:rsidRPr="00440FCA">
              <w:rPr>
                <w:rFonts w:ascii="Arial" w:hAnsi="Arial" w:cs="Arial"/>
              </w:rPr>
              <w:t xml:space="preserve">the </w:t>
            </w:r>
            <w:r w:rsidR="00312055">
              <w:rPr>
                <w:rFonts w:ascii="Arial" w:hAnsi="Arial" w:cs="Arial"/>
              </w:rPr>
              <w:t>barriers to integration of ex-offenders into the construction industry in Australia</w:t>
            </w:r>
            <w:r w:rsidRPr="00440FCA">
              <w:rPr>
                <w:rFonts w:ascii="Arial" w:hAnsi="Arial" w:cs="Arial"/>
              </w:rPr>
              <w:t>.</w:t>
            </w:r>
          </w:p>
          <w:p w14:paraId="5B2F9684" w14:textId="4BAE1F6B" w:rsidR="00D26706" w:rsidRDefault="00D26706" w:rsidP="004F2F65">
            <w:pPr>
              <w:rPr>
                <w:rFonts w:ascii="Arial" w:hAnsi="Arial" w:cs="Arial"/>
              </w:rPr>
            </w:pPr>
          </w:p>
          <w:p w14:paraId="571950CE" w14:textId="77777777" w:rsidR="00D26706" w:rsidRPr="00440FCA" w:rsidRDefault="00D26706" w:rsidP="00D26706">
            <w:pPr>
              <w:rPr>
                <w:rFonts w:ascii="Arial" w:hAnsi="Arial" w:cs="Arial"/>
              </w:rPr>
            </w:pPr>
            <w:r w:rsidRPr="00440FCA">
              <w:rPr>
                <w:rFonts w:ascii="Arial" w:hAnsi="Arial" w:cs="Arial"/>
              </w:rPr>
              <w:t xml:space="preserve">Full </w:t>
            </w:r>
            <w:r>
              <w:rPr>
                <w:rFonts w:ascii="Arial" w:hAnsi="Arial" w:cs="Arial"/>
              </w:rPr>
              <w:t xml:space="preserve">research </w:t>
            </w:r>
            <w:r w:rsidRPr="00440FCA">
              <w:rPr>
                <w:rFonts w:ascii="Arial" w:hAnsi="Arial" w:cs="Arial"/>
              </w:rPr>
              <w:t xml:space="preserve">papers are </w:t>
            </w:r>
            <w:r>
              <w:rPr>
                <w:rFonts w:ascii="Arial" w:hAnsi="Arial" w:cs="Arial"/>
              </w:rPr>
              <w:t xml:space="preserve">listed at the bottom of the page and </w:t>
            </w:r>
            <w:r w:rsidRPr="00440FCA">
              <w:rPr>
                <w:rFonts w:ascii="Arial" w:hAnsi="Arial" w:cs="Arial"/>
              </w:rPr>
              <w:t>available on request. Please feel free to circulate this fact sheet.</w:t>
            </w:r>
          </w:p>
          <w:p w14:paraId="17B7FDF8" w14:textId="0896D316" w:rsidR="00D26706" w:rsidRDefault="00D26706" w:rsidP="004F2F65">
            <w:pPr>
              <w:rPr>
                <w:rFonts w:ascii="Arial" w:hAnsi="Arial" w:cs="Arial"/>
              </w:rPr>
            </w:pPr>
          </w:p>
          <w:p w14:paraId="55AD533F" w14:textId="77777777" w:rsidR="00D26706" w:rsidRDefault="00D26706" w:rsidP="00D2670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Professor Martin Loosemore</w:t>
            </w:r>
          </w:p>
          <w:p w14:paraId="755F7E50" w14:textId="77777777" w:rsidR="00D26706" w:rsidRDefault="00D26706" w:rsidP="00D2670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University of Technology, Sydney</w:t>
            </w:r>
          </w:p>
          <w:p w14:paraId="6B7DA883" w14:textId="77777777" w:rsidR="00D26706" w:rsidRDefault="00C14957" w:rsidP="00D26706">
            <w:pPr>
              <w:rPr>
                <w:rFonts w:ascii="Arial" w:hAnsi="Arial" w:cs="Arial"/>
                <w:bCs/>
              </w:rPr>
            </w:pPr>
            <w:hyperlink r:id="rId8" w:history="1">
              <w:r w:rsidR="00D26706" w:rsidRPr="00B8599A">
                <w:rPr>
                  <w:rStyle w:val="Hyperlink"/>
                  <w:rFonts w:ascii="Arial" w:hAnsi="Arial" w:cs="Arial"/>
                  <w:bCs/>
                </w:rPr>
                <w:t>https://profiles.uts.edu.au/Martin.Loosemore</w:t>
              </w:r>
            </w:hyperlink>
          </w:p>
          <w:p w14:paraId="1D2CAB1E" w14:textId="77777777" w:rsidR="00D26706" w:rsidRPr="00D26706" w:rsidRDefault="00D26706" w:rsidP="004F2F65">
            <w:pPr>
              <w:rPr>
                <w:rFonts w:ascii="Arial" w:hAnsi="Arial" w:cs="Arial"/>
                <w:b/>
              </w:rPr>
            </w:pPr>
          </w:p>
          <w:p w14:paraId="42E423EC" w14:textId="0023E48F" w:rsidR="000942B3" w:rsidRPr="00CF6ABB" w:rsidRDefault="000942B3" w:rsidP="006F0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CA" w:rsidRPr="00434ACB" w14:paraId="5D74CB0F" w14:textId="77777777" w:rsidTr="008154CA">
        <w:trPr>
          <w:trHeight w:val="2719"/>
        </w:trPr>
        <w:tc>
          <w:tcPr>
            <w:tcW w:w="11046" w:type="dxa"/>
          </w:tcPr>
          <w:p w14:paraId="4F46533D" w14:textId="37D63070" w:rsidR="008154CA" w:rsidRDefault="008154CA" w:rsidP="00434A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ACB">
              <w:rPr>
                <w:rFonts w:ascii="Arial" w:hAnsi="Arial" w:cs="Arial"/>
                <w:b/>
                <w:bCs/>
                <w:sz w:val="24"/>
                <w:szCs w:val="24"/>
              </w:rPr>
              <w:t>Why the study</w:t>
            </w:r>
          </w:p>
          <w:p w14:paraId="2F0D13E0" w14:textId="77777777" w:rsidR="000942B3" w:rsidRPr="00434ACB" w:rsidRDefault="000942B3" w:rsidP="00434A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A62677" w14:textId="0616FDE2" w:rsidR="00312055" w:rsidRDefault="00F22307" w:rsidP="000942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When the research was done, the</w:t>
            </w:r>
            <w:r w:rsidR="00312055" w:rsidRPr="00312055">
              <w:rPr>
                <w:rFonts w:ascii="Arial" w:hAnsi="Arial" w:cs="Arial"/>
                <w:shd w:val="clear" w:color="auto" w:fill="FFFFFF"/>
              </w:rPr>
              <w:t xml:space="preserve"> recidivism rate in Australia </w:t>
            </w:r>
            <w:r w:rsidR="00312055">
              <w:rPr>
                <w:rFonts w:ascii="Arial" w:hAnsi="Arial" w:cs="Arial"/>
                <w:shd w:val="clear" w:color="auto" w:fill="FFFFFF"/>
              </w:rPr>
              <w:t>continue</w:t>
            </w:r>
            <w:r>
              <w:rPr>
                <w:rFonts w:ascii="Arial" w:hAnsi="Arial" w:cs="Arial"/>
                <w:shd w:val="clear" w:color="auto" w:fill="FFFFFF"/>
              </w:rPr>
              <w:t>d</w:t>
            </w:r>
            <w:r w:rsidR="00312055" w:rsidRPr="00312055">
              <w:rPr>
                <w:rFonts w:ascii="Arial" w:hAnsi="Arial" w:cs="Arial"/>
                <w:shd w:val="clear" w:color="auto" w:fill="FFFFFF"/>
              </w:rPr>
              <w:t xml:space="preserve"> to increase</w:t>
            </w:r>
            <w:r w:rsidR="00312055">
              <w:rPr>
                <w:rFonts w:ascii="Arial" w:hAnsi="Arial" w:cs="Arial"/>
                <w:shd w:val="clear" w:color="auto" w:fill="FFFFFF"/>
              </w:rPr>
              <w:t xml:space="preserve"> and in 2019 43% of ex-offenders released from detention reoffend</w:t>
            </w:r>
            <w:r>
              <w:rPr>
                <w:rFonts w:ascii="Arial" w:hAnsi="Arial" w:cs="Arial"/>
                <w:shd w:val="clear" w:color="auto" w:fill="FFFFFF"/>
              </w:rPr>
              <w:t>ed</w:t>
            </w:r>
            <w:r w:rsidR="00312055">
              <w:rPr>
                <w:rFonts w:ascii="Arial" w:hAnsi="Arial" w:cs="Arial"/>
                <w:shd w:val="clear" w:color="auto" w:fill="FFFFFF"/>
              </w:rPr>
              <w:t xml:space="preserve"> within 12 months and this </w:t>
            </w:r>
            <w:r>
              <w:rPr>
                <w:rFonts w:ascii="Arial" w:hAnsi="Arial" w:cs="Arial"/>
                <w:shd w:val="clear" w:color="auto" w:fill="FFFFFF"/>
              </w:rPr>
              <w:t>was</w:t>
            </w:r>
            <w:r w:rsidR="00312055">
              <w:rPr>
                <w:rFonts w:ascii="Arial" w:hAnsi="Arial" w:cs="Arial"/>
                <w:shd w:val="clear" w:color="auto" w:fill="FFFFFF"/>
              </w:rPr>
              <w:t xml:space="preserve"> 64% for juvenile offenders.</w:t>
            </w:r>
          </w:p>
          <w:p w14:paraId="2FC2976A" w14:textId="05CDC496" w:rsidR="00312055" w:rsidRDefault="00312055" w:rsidP="000942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hd w:val="clear" w:color="auto" w:fill="FFFFFF"/>
              </w:rPr>
            </w:pPr>
            <w:r w:rsidRPr="00312055">
              <w:rPr>
                <w:rFonts w:ascii="Arial" w:hAnsi="Arial" w:cs="Arial"/>
                <w:shd w:val="clear" w:color="auto" w:fill="FFFFFF"/>
              </w:rPr>
              <w:t>Aboriginal and Torres Strait Islander people ma</w:t>
            </w:r>
            <w:r w:rsidR="00F22307">
              <w:rPr>
                <w:rFonts w:ascii="Arial" w:hAnsi="Arial" w:cs="Arial"/>
                <w:shd w:val="clear" w:color="auto" w:fill="FFFFFF"/>
              </w:rPr>
              <w:t>de</w:t>
            </w:r>
            <w:r w:rsidRPr="00312055">
              <w:rPr>
                <w:rFonts w:ascii="Arial" w:hAnsi="Arial" w:cs="Arial"/>
                <w:shd w:val="clear" w:color="auto" w:fill="FFFFFF"/>
              </w:rPr>
              <w:t xml:space="preserve"> up </w:t>
            </w:r>
            <w:r>
              <w:rPr>
                <w:rFonts w:ascii="Arial" w:hAnsi="Arial" w:cs="Arial"/>
                <w:shd w:val="clear" w:color="auto" w:fill="FFFFFF"/>
              </w:rPr>
              <w:t>about 3</w:t>
            </w:r>
            <w:r w:rsidRPr="00312055">
              <w:rPr>
                <w:rFonts w:ascii="Arial" w:hAnsi="Arial" w:cs="Arial"/>
                <w:shd w:val="clear" w:color="auto" w:fill="FFFFFF"/>
              </w:rPr>
              <w:t>% of the total Australian population, but 28% of the adult prison population</w:t>
            </w:r>
            <w:r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14:paraId="0DC82CA2" w14:textId="61DCE4DA" w:rsidR="00312055" w:rsidRDefault="00312055" w:rsidP="000942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Unem</w:t>
            </w:r>
            <w:r w:rsidRPr="00312055">
              <w:rPr>
                <w:rFonts w:ascii="Arial" w:hAnsi="Arial" w:cs="Arial"/>
                <w:shd w:val="clear" w:color="auto" w:fill="FFFFFF"/>
              </w:rPr>
              <w:t xml:space="preserve">ployment has been strongly linked to the risk of recidivism and research shows that </w:t>
            </w:r>
            <w:r w:rsidR="000942B3">
              <w:rPr>
                <w:rFonts w:ascii="Arial" w:hAnsi="Arial" w:cs="Arial"/>
                <w:shd w:val="clear" w:color="auto" w:fill="FFFFFF"/>
              </w:rPr>
              <w:t>incarceration further damages prisoners’ opportunities for employment after release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26647C35" w14:textId="65CD07DC" w:rsidR="00D96003" w:rsidRPr="00440FCA" w:rsidRDefault="00312055" w:rsidP="000942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</w:t>
            </w:r>
            <w:r w:rsidR="006F0193" w:rsidRPr="00440FCA">
              <w:rPr>
                <w:rFonts w:ascii="Arial" w:hAnsi="Arial" w:cs="Arial"/>
                <w:shd w:val="clear" w:color="auto" w:fill="FFFFFF"/>
              </w:rPr>
              <w:t xml:space="preserve">he construction industry represents a major source of employment for </w:t>
            </w:r>
            <w:r>
              <w:rPr>
                <w:rFonts w:ascii="Arial" w:hAnsi="Arial" w:cs="Arial"/>
                <w:shd w:val="clear" w:color="auto" w:fill="FFFFFF"/>
              </w:rPr>
              <w:t>ex-offenders</w:t>
            </w:r>
            <w:r w:rsidR="006F0193" w:rsidRPr="00440FCA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14:paraId="7CF9C745" w14:textId="77777777" w:rsidR="000942B3" w:rsidRDefault="000942B3" w:rsidP="000942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There is a severe shortage of labour in construction and infrastructure and ex-offenders are a potentially valuable source of labour.</w:t>
            </w:r>
          </w:p>
          <w:p w14:paraId="1A3D7EA1" w14:textId="051E76C8" w:rsidR="000942B3" w:rsidRDefault="000942B3" w:rsidP="000942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Some social procurement policies target ex-offenders as a specific employment group. Indigenous procurement policies inevitably involve the employment of ex-offenders because of the above statistics.</w:t>
            </w:r>
          </w:p>
          <w:p w14:paraId="61D0B0F3" w14:textId="77777777" w:rsidR="00F22307" w:rsidRPr="00F22307" w:rsidRDefault="000942B3" w:rsidP="000942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D</w:t>
            </w:r>
            <w:r w:rsidRPr="00312055">
              <w:rPr>
                <w:rFonts w:ascii="Arial" w:hAnsi="Arial" w:cs="Arial"/>
                <w:shd w:val="clear" w:color="auto" w:fill="FFFFFF"/>
              </w:rPr>
              <w:t xml:space="preserve">espite evidence that many organisations have positive experiences with ex-offenders, </w:t>
            </w:r>
            <w:r>
              <w:rPr>
                <w:rFonts w:ascii="Arial" w:hAnsi="Arial" w:cs="Arial"/>
                <w:shd w:val="clear" w:color="auto" w:fill="FFFFFF"/>
              </w:rPr>
              <w:t>most</w:t>
            </w:r>
            <w:r w:rsidRPr="00312055">
              <w:rPr>
                <w:rFonts w:ascii="Arial" w:hAnsi="Arial" w:cs="Arial"/>
                <w:shd w:val="clear" w:color="auto" w:fill="FFFFFF"/>
              </w:rPr>
              <w:t xml:space="preserve"> employers </w:t>
            </w:r>
            <w:r>
              <w:rPr>
                <w:rFonts w:ascii="Arial" w:hAnsi="Arial" w:cs="Arial"/>
                <w:shd w:val="clear" w:color="auto" w:fill="FFFFFF"/>
              </w:rPr>
              <w:t>do not</w:t>
            </w:r>
            <w:r w:rsidRPr="00312055">
              <w:rPr>
                <w:rFonts w:ascii="Arial" w:hAnsi="Arial" w:cs="Arial"/>
                <w:shd w:val="clear" w:color="auto" w:fill="FFFFFF"/>
              </w:rPr>
              <w:t xml:space="preserve"> consider employing an ex-offender, regardless of the offence or sentence received. </w:t>
            </w:r>
          </w:p>
          <w:p w14:paraId="790610C7" w14:textId="17B65351" w:rsidR="000942B3" w:rsidRPr="000942B3" w:rsidRDefault="000942B3" w:rsidP="000942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I</w:t>
            </w:r>
            <w:r w:rsidRPr="00312055">
              <w:rPr>
                <w:rFonts w:ascii="Arial" w:hAnsi="Arial" w:cs="Arial"/>
                <w:shd w:val="clear" w:color="auto" w:fill="FFFFFF"/>
              </w:rPr>
              <w:t>ncreasing use of background che</w:t>
            </w:r>
            <w:r w:rsidR="00C14957">
              <w:rPr>
                <w:rFonts w:ascii="Arial" w:hAnsi="Arial" w:cs="Arial"/>
                <w:shd w:val="clear" w:color="auto" w:fill="FFFFFF"/>
              </w:rPr>
              <w:t>cks</w:t>
            </w:r>
            <w:bookmarkStart w:id="0" w:name="_GoBack"/>
            <w:bookmarkEnd w:id="0"/>
            <w:r w:rsidRPr="00312055">
              <w:rPr>
                <w:rFonts w:ascii="Arial" w:hAnsi="Arial" w:cs="Arial"/>
                <w:shd w:val="clear" w:color="auto" w:fill="FFFFFF"/>
              </w:rPr>
              <w:t xml:space="preserve"> by many employers automatically eliminates them from any shortlisting exercise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68722C87" w14:textId="1CF4DE6F" w:rsidR="004F2F65" w:rsidRPr="00312055" w:rsidRDefault="00312055" w:rsidP="000942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This research addressed the lack of international </w:t>
            </w:r>
            <w:r w:rsidRPr="00312055">
              <w:rPr>
                <w:rFonts w:ascii="Arial" w:hAnsi="Arial" w:cs="Arial"/>
                <w:shd w:val="clear" w:color="auto" w:fill="FFFFFF"/>
              </w:rPr>
              <w:t xml:space="preserve">evidence </w:t>
            </w:r>
            <w:r>
              <w:rPr>
                <w:rFonts w:ascii="Arial" w:hAnsi="Arial" w:cs="Arial"/>
                <w:shd w:val="clear" w:color="auto" w:fill="FFFFFF"/>
              </w:rPr>
              <w:t>around</w:t>
            </w:r>
            <w:r w:rsidRPr="00312055">
              <w:rPr>
                <w:rFonts w:ascii="Arial" w:hAnsi="Arial" w:cs="Arial"/>
                <w:shd w:val="clear" w:color="auto" w:fill="FFFFFF"/>
              </w:rPr>
              <w:t xml:space="preserve"> the challenges and opportunities in employing ex-offenders within the construction industry supply chain.</w:t>
            </w:r>
          </w:p>
          <w:p w14:paraId="5BF83E24" w14:textId="22B50CD5" w:rsidR="007300FE" w:rsidRPr="007300FE" w:rsidRDefault="007300FE" w:rsidP="00D9600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CA" w:rsidRPr="00434ACB" w14:paraId="53397A3A" w14:textId="77777777" w:rsidTr="008154CA">
        <w:trPr>
          <w:trHeight w:val="2120"/>
        </w:trPr>
        <w:tc>
          <w:tcPr>
            <w:tcW w:w="11046" w:type="dxa"/>
          </w:tcPr>
          <w:p w14:paraId="6D2A0291" w14:textId="5D75A7F6" w:rsidR="008154CA" w:rsidRDefault="008154CA" w:rsidP="00434A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ACB">
              <w:rPr>
                <w:rFonts w:ascii="Arial" w:hAnsi="Arial" w:cs="Arial"/>
                <w:b/>
                <w:bCs/>
                <w:sz w:val="24"/>
                <w:szCs w:val="24"/>
              </w:rPr>
              <w:t>What we did</w:t>
            </w:r>
          </w:p>
          <w:p w14:paraId="05B97BFC" w14:textId="77777777" w:rsidR="000942B3" w:rsidRPr="00434ACB" w:rsidRDefault="000942B3" w:rsidP="00434A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FAADF4" w14:textId="7E93D682" w:rsidR="000942B3" w:rsidRPr="000942B3" w:rsidRDefault="000942B3" w:rsidP="000942B3">
            <w:pPr>
              <w:rPr>
                <w:rFonts w:ascii="Arial" w:hAnsi="Arial" w:cs="Arial"/>
              </w:rPr>
            </w:pPr>
            <w:r w:rsidRPr="000942B3">
              <w:rPr>
                <w:rFonts w:ascii="Arial" w:hAnsi="Arial" w:cs="Arial"/>
              </w:rPr>
              <w:t>We undertook two separate research projects:</w:t>
            </w:r>
          </w:p>
          <w:p w14:paraId="08992307" w14:textId="77777777" w:rsidR="000942B3" w:rsidRPr="000942B3" w:rsidRDefault="000942B3" w:rsidP="000942B3">
            <w:pPr>
              <w:pStyle w:val="ListParagraph"/>
              <w:rPr>
                <w:rFonts w:ascii="Arial" w:hAnsi="Arial" w:cs="Arial"/>
              </w:rPr>
            </w:pPr>
          </w:p>
          <w:p w14:paraId="25C3C273" w14:textId="75E1894C" w:rsidR="000942B3" w:rsidRDefault="000942B3" w:rsidP="000942B3">
            <w:pPr>
              <w:pStyle w:val="ListParagraph"/>
              <w:rPr>
                <w:rFonts w:ascii="Arial" w:hAnsi="Arial" w:cs="Arial"/>
              </w:rPr>
            </w:pPr>
            <w:r w:rsidRPr="000942B3">
              <w:rPr>
                <w:rFonts w:ascii="Arial" w:hAnsi="Arial" w:cs="Arial"/>
              </w:rPr>
              <w:t>Project one:</w:t>
            </w:r>
          </w:p>
          <w:p w14:paraId="685D2CEE" w14:textId="77777777" w:rsidR="000942B3" w:rsidRPr="000942B3" w:rsidRDefault="000942B3" w:rsidP="000942B3">
            <w:pPr>
              <w:pStyle w:val="ListParagraph"/>
              <w:rPr>
                <w:rFonts w:ascii="Arial" w:hAnsi="Arial" w:cs="Arial"/>
              </w:rPr>
            </w:pPr>
          </w:p>
          <w:p w14:paraId="7EE7A5B6" w14:textId="1D4BF271" w:rsidR="00312055" w:rsidRPr="000942B3" w:rsidRDefault="000942B3" w:rsidP="00CF792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942B3">
              <w:rPr>
                <w:rFonts w:ascii="Arial" w:hAnsi="Arial" w:cs="Arial"/>
              </w:rPr>
              <w:t>We undertook a</w:t>
            </w:r>
            <w:r w:rsidR="00312055" w:rsidRPr="000942B3">
              <w:rPr>
                <w:rFonts w:ascii="Arial" w:hAnsi="Arial" w:cs="Arial"/>
              </w:rPr>
              <w:t>n on-line survey was conducted of subcontractors across the construction supply chain in Australia.</w:t>
            </w:r>
          </w:p>
          <w:p w14:paraId="733E050F" w14:textId="77777777" w:rsidR="00095BEB" w:rsidRPr="000942B3" w:rsidRDefault="00312055" w:rsidP="0031205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942B3">
              <w:rPr>
                <w:rFonts w:ascii="Arial" w:hAnsi="Arial" w:cs="Arial"/>
              </w:rPr>
              <w:t>The survey asked respondents who had hired ex-offenders and also those who had not hired ex-offenders but were willing to do so a series of questions around roles where they would employ or not employ ex-offenders in and their motivations for doing so.</w:t>
            </w:r>
          </w:p>
          <w:p w14:paraId="298C5B8E" w14:textId="7AA8BC94" w:rsidR="00312055" w:rsidRDefault="00312055" w:rsidP="0031205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942B3">
              <w:rPr>
                <w:rFonts w:ascii="Arial" w:hAnsi="Arial" w:cs="Arial"/>
              </w:rPr>
              <w:t>A total of 176 sub-contracting business samples in Australia were invited to participate, and 116 responses were received. Of these responses, 22 were incomplete; hence deleted f</w:t>
            </w:r>
            <w:r w:rsidR="00F22307">
              <w:rPr>
                <w:rFonts w:ascii="Arial" w:hAnsi="Arial" w:cs="Arial"/>
              </w:rPr>
              <w:t>rom</w:t>
            </w:r>
            <w:r w:rsidRPr="000942B3">
              <w:rPr>
                <w:rFonts w:ascii="Arial" w:hAnsi="Arial" w:cs="Arial"/>
              </w:rPr>
              <w:t xml:space="preserve"> subsequent analysis giving a total response rate of 94 (53.4%).</w:t>
            </w:r>
          </w:p>
          <w:p w14:paraId="065B7B3F" w14:textId="77777777" w:rsidR="000942B3" w:rsidRPr="000942B3" w:rsidRDefault="000942B3" w:rsidP="000942B3">
            <w:pPr>
              <w:pStyle w:val="ListParagraph"/>
              <w:rPr>
                <w:rFonts w:ascii="Arial" w:hAnsi="Arial" w:cs="Arial"/>
              </w:rPr>
            </w:pPr>
          </w:p>
          <w:p w14:paraId="780FF924" w14:textId="59919E45" w:rsidR="000942B3" w:rsidRDefault="000942B3" w:rsidP="000942B3">
            <w:pPr>
              <w:pStyle w:val="ListParagraph"/>
              <w:rPr>
                <w:rFonts w:ascii="Arial" w:hAnsi="Arial" w:cs="Arial"/>
              </w:rPr>
            </w:pPr>
            <w:r w:rsidRPr="000942B3">
              <w:rPr>
                <w:rFonts w:ascii="Arial" w:hAnsi="Arial" w:cs="Arial"/>
              </w:rPr>
              <w:lastRenderedPageBreak/>
              <w:t>Project two:</w:t>
            </w:r>
          </w:p>
          <w:p w14:paraId="4271A7EA" w14:textId="77777777" w:rsidR="000942B3" w:rsidRPr="000942B3" w:rsidRDefault="000942B3" w:rsidP="000942B3">
            <w:pPr>
              <w:pStyle w:val="ListParagraph"/>
              <w:rPr>
                <w:rFonts w:ascii="Arial" w:hAnsi="Arial" w:cs="Arial"/>
              </w:rPr>
            </w:pPr>
          </w:p>
          <w:p w14:paraId="50AE8BE4" w14:textId="64D498F2" w:rsidR="000942B3" w:rsidRPr="00456420" w:rsidRDefault="000942B3" w:rsidP="000942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942B3">
              <w:rPr>
                <w:rFonts w:ascii="Arial" w:hAnsi="Arial" w:cs="Arial"/>
              </w:rPr>
              <w:t xml:space="preserve">In the second research project, we analysed a case study of a successful UK project which involved organizations from a range of sectors (non-proﬁt, charity, private business, prisons, government, funders, education) </w:t>
            </w:r>
            <w:r>
              <w:rPr>
                <w:rFonts w:ascii="Arial" w:hAnsi="Arial" w:cs="Arial"/>
              </w:rPr>
              <w:t xml:space="preserve">collaborating </w:t>
            </w:r>
            <w:r w:rsidRPr="000942B3">
              <w:rPr>
                <w:rFonts w:ascii="Arial" w:hAnsi="Arial" w:cs="Arial"/>
              </w:rPr>
              <w:t xml:space="preserve">over a period of one year to develop and implement 11 pilot projects to explore new ways of supporting ex-oﬀenders into construction employment. </w:t>
            </w:r>
          </w:p>
        </w:tc>
      </w:tr>
      <w:tr w:rsidR="008154CA" w:rsidRPr="00434ACB" w14:paraId="127BB0CC" w14:textId="77777777" w:rsidTr="007A5508">
        <w:trPr>
          <w:trHeight w:val="4282"/>
        </w:trPr>
        <w:tc>
          <w:tcPr>
            <w:tcW w:w="11046" w:type="dxa"/>
          </w:tcPr>
          <w:p w14:paraId="2ABA160F" w14:textId="54816E61" w:rsidR="004F2F65" w:rsidRPr="00434ACB" w:rsidRDefault="004F2F65" w:rsidP="004F2F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A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What we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found</w:t>
            </w:r>
          </w:p>
          <w:p w14:paraId="39AEF455" w14:textId="77777777" w:rsidR="007E73E8" w:rsidRDefault="007E73E8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E73E8">
              <w:rPr>
                <w:rFonts w:ascii="Arial" w:hAnsi="Arial" w:cs="Arial"/>
              </w:rPr>
              <w:t>ttitudes towards the employment of ex-offenders in construction are significantly more positive than in other industries</w:t>
            </w:r>
            <w:r>
              <w:rPr>
                <w:rFonts w:ascii="Arial" w:hAnsi="Arial" w:cs="Arial"/>
              </w:rPr>
              <w:t>.</w:t>
            </w:r>
          </w:p>
          <w:p w14:paraId="0B8B2406" w14:textId="16D90E12" w:rsidR="009C4DEB" w:rsidRDefault="009C4DEB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C4DEB">
              <w:rPr>
                <w:rFonts w:ascii="Arial" w:hAnsi="Arial" w:cs="Arial"/>
              </w:rPr>
              <w:t xml:space="preserve">30.9% of sub-contractors had hired ex-offenders previously; 30.9% of sub-contractors had not hired ex-offenders previously but were willing to do so; and 38.3% of sub-contractors had not hired ex-offenders and were not willing to do so. </w:t>
            </w:r>
          </w:p>
          <w:p w14:paraId="6B198EA2" w14:textId="0E5C2869" w:rsidR="009C4DEB" w:rsidRDefault="009C4DEB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C4DEB">
              <w:rPr>
                <w:rFonts w:ascii="Arial" w:hAnsi="Arial" w:cs="Arial"/>
              </w:rPr>
              <w:t>69.1% of sub-contractors do not use criminal record che</w:t>
            </w:r>
            <w:r>
              <w:rPr>
                <w:rFonts w:ascii="Arial" w:hAnsi="Arial" w:cs="Arial"/>
              </w:rPr>
              <w:t>cks</w:t>
            </w:r>
            <w:r w:rsidRPr="009C4DEB">
              <w:rPr>
                <w:rFonts w:ascii="Arial" w:hAnsi="Arial" w:cs="Arial"/>
              </w:rPr>
              <w:t xml:space="preserve"> to inform hiring decisions compared to 25.5% who do and 5.3% who were unsure.</w:t>
            </w:r>
            <w:r>
              <w:rPr>
                <w:rFonts w:ascii="Arial" w:hAnsi="Arial" w:cs="Arial"/>
              </w:rPr>
              <w:t xml:space="preserve"> Background checks are less common than in other industries</w:t>
            </w:r>
            <w:r w:rsidRPr="009C4DEB">
              <w:rPr>
                <w:rFonts w:ascii="Arial" w:hAnsi="Arial" w:cs="Arial"/>
              </w:rPr>
              <w:t>.</w:t>
            </w:r>
          </w:p>
          <w:p w14:paraId="3204FB5C" w14:textId="0086F620" w:rsidR="009C4DEB" w:rsidRDefault="009C4DEB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C4DEB">
              <w:rPr>
                <w:rFonts w:ascii="Arial" w:hAnsi="Arial" w:cs="Arial"/>
              </w:rPr>
              <w:t xml:space="preserve">ifferent trades </w:t>
            </w:r>
            <w:r>
              <w:rPr>
                <w:rFonts w:ascii="Arial" w:hAnsi="Arial" w:cs="Arial"/>
              </w:rPr>
              <w:t xml:space="preserve">and different sized firms </w:t>
            </w:r>
            <w:r w:rsidRPr="009C4DEB">
              <w:rPr>
                <w:rFonts w:ascii="Arial" w:hAnsi="Arial" w:cs="Arial"/>
              </w:rPr>
              <w:t>have different attitudes towards the employment of ex-offenders and need different suppor</w:t>
            </w:r>
            <w:r>
              <w:rPr>
                <w:rFonts w:ascii="Arial" w:hAnsi="Arial" w:cs="Arial"/>
              </w:rPr>
              <w:t>t structures to encour</w:t>
            </w:r>
            <w:r w:rsidRPr="009C4DEB">
              <w:rPr>
                <w:rFonts w:ascii="Arial" w:hAnsi="Arial" w:cs="Arial"/>
              </w:rPr>
              <w:t xml:space="preserve">age them to do so. </w:t>
            </w:r>
            <w:r>
              <w:rPr>
                <w:rFonts w:ascii="Arial" w:hAnsi="Arial" w:cs="Arial"/>
              </w:rPr>
              <w:t>E</w:t>
            </w:r>
            <w:r w:rsidRPr="009C4DEB">
              <w:rPr>
                <w:rFonts w:ascii="Arial" w:hAnsi="Arial" w:cs="Arial"/>
              </w:rPr>
              <w:t xml:space="preserve">lectricians, concreters, plumbers, and ‘other’ subcontractors with annual turnovers of more than $20 million, </w:t>
            </w:r>
            <w:r>
              <w:rPr>
                <w:rFonts w:ascii="Arial" w:hAnsi="Arial" w:cs="Arial"/>
              </w:rPr>
              <w:t xml:space="preserve">were most open to hiring </w:t>
            </w:r>
            <w:r w:rsidRPr="009C4DEB">
              <w:rPr>
                <w:rFonts w:ascii="Arial" w:hAnsi="Arial" w:cs="Arial"/>
              </w:rPr>
              <w:t>ex-offenders despite regularly conducting criminal background che</w:t>
            </w:r>
            <w:r>
              <w:rPr>
                <w:rFonts w:ascii="Arial" w:hAnsi="Arial" w:cs="Arial"/>
              </w:rPr>
              <w:t>cks.</w:t>
            </w:r>
          </w:p>
          <w:p w14:paraId="4E184C8A" w14:textId="6AD3C371" w:rsidR="009C4DEB" w:rsidRDefault="009C4DEB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942B3">
              <w:rPr>
                <w:rFonts w:ascii="Arial" w:hAnsi="Arial" w:cs="Arial"/>
              </w:rPr>
              <w:t>Employers were most at ease in employing ex-offenders convicted of drug possession charges. Tolerance in the sample to blue collar crimes such as robbery and theft is relatively high – especially in the group with the greatest experience of employing ex-offenders. Construction is also more receptive to serious</w:t>
            </w:r>
            <w:r w:rsidRPr="009C4DEB">
              <w:rPr>
                <w:rFonts w:ascii="Arial" w:hAnsi="Arial" w:cs="Arial"/>
              </w:rPr>
              <w:t xml:space="preserve"> offences like robbery and theft than other industries</w:t>
            </w:r>
            <w:r>
              <w:rPr>
                <w:rFonts w:ascii="Arial" w:hAnsi="Arial" w:cs="Arial"/>
              </w:rPr>
              <w:t>.</w:t>
            </w:r>
          </w:p>
          <w:p w14:paraId="48B9CD33" w14:textId="1FFD8BC1" w:rsidR="009C4DEB" w:rsidRDefault="009C4DEB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key drivers for </w:t>
            </w:r>
            <w:r w:rsidRPr="009C4DEB">
              <w:rPr>
                <w:rFonts w:ascii="Arial" w:hAnsi="Arial" w:cs="Arial"/>
              </w:rPr>
              <w:t xml:space="preserve">employing ex-offenders </w:t>
            </w:r>
            <w:r>
              <w:rPr>
                <w:rFonts w:ascii="Arial" w:hAnsi="Arial" w:cs="Arial"/>
              </w:rPr>
              <w:t>are labour</w:t>
            </w:r>
            <w:r w:rsidRPr="009C4DEB">
              <w:rPr>
                <w:rFonts w:ascii="Arial" w:hAnsi="Arial" w:cs="Arial"/>
              </w:rPr>
              <w:t xml:space="preserve"> shortages, potential positive work-ethic and the requirements of client/contracts (social pro</w:t>
            </w:r>
            <w:r>
              <w:rPr>
                <w:rFonts w:ascii="Arial" w:hAnsi="Arial" w:cs="Arial"/>
              </w:rPr>
              <w:t>curement policy). Diversity targets were not a driver.</w:t>
            </w:r>
          </w:p>
          <w:p w14:paraId="70C3BF7F" w14:textId="5CE71BF7" w:rsidR="009F1307" w:rsidRDefault="009F1307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many perceived barriers to employment for ex-offenders. These often do not align with reality. However, they include: concerns around re-offending; lack of reliability; low trust; perceived behavioural problems; substance abuse; mental instability; lack of skills.</w:t>
            </w:r>
          </w:p>
          <w:p w14:paraId="6660AE82" w14:textId="746EF408" w:rsidR="009F1307" w:rsidRDefault="009F1307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risk trades (especially structural trades) perceived these barriers to be higher.</w:t>
            </w:r>
          </w:p>
          <w:p w14:paraId="5F94B9E3" w14:textId="3FC6F408" w:rsidR="009F1307" w:rsidRDefault="009F1307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Those employers who have employed ex-offenders have much more positive perceptions, especially if the experience has been good.</w:t>
            </w:r>
          </w:p>
          <w:p w14:paraId="52E6FBE2" w14:textId="77777777" w:rsidR="004F2F65" w:rsidRDefault="004F2F65" w:rsidP="004F2F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8EE7D2" w14:textId="77777777" w:rsidR="004F2F65" w:rsidRPr="004F2F65" w:rsidRDefault="004F2F65" w:rsidP="004F2F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2F65">
              <w:rPr>
                <w:rFonts w:ascii="Arial" w:hAnsi="Arial" w:cs="Arial"/>
                <w:b/>
                <w:sz w:val="24"/>
                <w:szCs w:val="24"/>
              </w:rPr>
              <w:t>What this means</w:t>
            </w:r>
          </w:p>
          <w:p w14:paraId="4E6039DE" w14:textId="5E70AC3C" w:rsidR="004F2F65" w:rsidRPr="00440FCA" w:rsidRDefault="004F2F65" w:rsidP="004F2F65">
            <w:pPr>
              <w:rPr>
                <w:rFonts w:ascii="Arial" w:hAnsi="Arial" w:cs="Arial"/>
              </w:rPr>
            </w:pPr>
            <w:r w:rsidRPr="00440FCA">
              <w:rPr>
                <w:rFonts w:ascii="Arial" w:hAnsi="Arial" w:cs="Arial"/>
              </w:rPr>
              <w:t xml:space="preserve">Recommendations </w:t>
            </w:r>
            <w:r w:rsidR="00440FCA" w:rsidRPr="00440FCA">
              <w:rPr>
                <w:rFonts w:ascii="Arial" w:hAnsi="Arial" w:cs="Arial"/>
              </w:rPr>
              <w:t>for</w:t>
            </w:r>
            <w:r w:rsidRPr="00440FCA">
              <w:rPr>
                <w:rFonts w:ascii="Arial" w:hAnsi="Arial" w:cs="Arial"/>
              </w:rPr>
              <w:t xml:space="preserve"> policy makers and businesses in the construction industry who wish to better harness the potential skills </w:t>
            </w:r>
            <w:r w:rsidR="00440FCA" w:rsidRPr="00440FCA">
              <w:rPr>
                <w:rFonts w:ascii="Arial" w:hAnsi="Arial" w:cs="Arial"/>
              </w:rPr>
              <w:t>of</w:t>
            </w:r>
            <w:r w:rsidRPr="00440FCA">
              <w:rPr>
                <w:rFonts w:ascii="Arial" w:hAnsi="Arial" w:cs="Arial"/>
              </w:rPr>
              <w:t xml:space="preserve"> </w:t>
            </w:r>
            <w:r w:rsidR="009F1307">
              <w:rPr>
                <w:rFonts w:ascii="Arial" w:hAnsi="Arial" w:cs="Arial"/>
              </w:rPr>
              <w:t>ex-offenders</w:t>
            </w:r>
            <w:r w:rsidRPr="00440FCA">
              <w:rPr>
                <w:rFonts w:ascii="Arial" w:hAnsi="Arial" w:cs="Arial"/>
              </w:rPr>
              <w:t xml:space="preserve"> </w:t>
            </w:r>
            <w:r w:rsidR="00440FCA" w:rsidRPr="00440FCA">
              <w:rPr>
                <w:rFonts w:ascii="Arial" w:hAnsi="Arial" w:cs="Arial"/>
              </w:rPr>
              <w:t>include</w:t>
            </w:r>
            <w:r w:rsidRPr="00440FCA">
              <w:rPr>
                <w:rFonts w:ascii="Arial" w:hAnsi="Arial" w:cs="Arial"/>
              </w:rPr>
              <w:t xml:space="preserve">: </w:t>
            </w:r>
          </w:p>
          <w:p w14:paraId="5C98E23F" w14:textId="77777777" w:rsidR="004F2F65" w:rsidRPr="00440FCA" w:rsidRDefault="004F2F65" w:rsidP="004F2F65">
            <w:pPr>
              <w:rPr>
                <w:rFonts w:ascii="Arial" w:hAnsi="Arial" w:cs="Arial"/>
              </w:rPr>
            </w:pPr>
          </w:p>
          <w:p w14:paraId="59C7F6F7" w14:textId="47EE698E" w:rsidR="007E73E8" w:rsidRDefault="000942B3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</w:t>
            </w:r>
            <w:r w:rsidR="007E73E8">
              <w:rPr>
                <w:rFonts w:ascii="Arial" w:hAnsi="Arial" w:cs="Arial"/>
              </w:rPr>
              <w:t xml:space="preserve"> significant oppor</w:t>
            </w:r>
            <w:r w:rsidR="007E73E8" w:rsidRPr="009C4DEB">
              <w:rPr>
                <w:rFonts w:ascii="Arial" w:hAnsi="Arial" w:cs="Arial"/>
              </w:rPr>
              <w:t>tunity for government policy-makers to use construction social procurement to provide employment and training opportunities for ex-offenders and thereby reduce recidivism rates.</w:t>
            </w:r>
          </w:p>
          <w:p w14:paraId="557FCCEB" w14:textId="2189ED1E" w:rsidR="000942B3" w:rsidRDefault="000942B3" w:rsidP="000942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942B3">
              <w:rPr>
                <w:rFonts w:ascii="Arial" w:hAnsi="Arial" w:cs="Arial"/>
              </w:rPr>
              <w:t xml:space="preserve">ross-sector collaboration </w:t>
            </w:r>
            <w:r>
              <w:rPr>
                <w:rFonts w:ascii="Arial" w:hAnsi="Arial" w:cs="Arial"/>
              </w:rPr>
              <w:t xml:space="preserve">with organisations from the justice system, not-for-profit sectors, government sectors and community sectors </w:t>
            </w:r>
            <w:r w:rsidRPr="000942B3">
              <w:rPr>
                <w:rFonts w:ascii="Arial" w:hAnsi="Arial" w:cs="Arial"/>
              </w:rPr>
              <w:t>is a potentially powerful mechanism by which the construction industry can meet its new social procurement responsibilities in relation to ex-oﬀenders and by extension, in relation to other disadvantaged coh</w:t>
            </w:r>
            <w:r>
              <w:rPr>
                <w:rFonts w:ascii="Arial" w:hAnsi="Arial" w:cs="Arial"/>
              </w:rPr>
              <w:t>orts targeted by social procure</w:t>
            </w:r>
            <w:r w:rsidRPr="000942B3">
              <w:rPr>
                <w:rFonts w:ascii="Arial" w:hAnsi="Arial" w:cs="Arial"/>
              </w:rPr>
              <w:t>ment policies where ex-oﬀending is an issue.</w:t>
            </w:r>
          </w:p>
          <w:p w14:paraId="2CD8FD9C" w14:textId="7771AF5B" w:rsidR="000942B3" w:rsidRDefault="000942B3" w:rsidP="000942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Cross-sector collaboration is not easy. </w:t>
            </w:r>
            <w:r w:rsidRPr="000942B3">
              <w:rPr>
                <w:rFonts w:ascii="Arial" w:hAnsi="Arial" w:cs="Arial"/>
              </w:rPr>
              <w:t>Having the right partners, having common, realistic and clear goals, having a com-mon empathy for the beneﬁciaries and a willingness to communicate openly and share resources, risks and opportunities and lessons of successes and failures are especially important to enable eﬀective cross-sector collaboration to occur.</w:t>
            </w:r>
          </w:p>
          <w:p w14:paraId="4CB11C1E" w14:textId="2928BD0E" w:rsidR="000942B3" w:rsidRDefault="000942B3" w:rsidP="000942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ﬁndings point to impor</w:t>
            </w:r>
            <w:r w:rsidRPr="000942B3">
              <w:rPr>
                <w:rFonts w:ascii="Arial" w:hAnsi="Arial" w:cs="Arial"/>
              </w:rPr>
              <w:t xml:space="preserve">tance of giving ex-oﬀenders voice, responding ﬂexibly to their diverse needs, educating employers about those needs, providing access to meaningful and sustainable jobs and making them central to the collaborative process (a person-centred approach). </w:t>
            </w:r>
          </w:p>
          <w:p w14:paraId="549988A0" w14:textId="6048078A" w:rsidR="000942B3" w:rsidRDefault="000942B3" w:rsidP="000942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ﬁndings also highlight the</w:t>
            </w:r>
            <w:r w:rsidRPr="000942B3">
              <w:rPr>
                <w:rFonts w:ascii="Arial" w:hAnsi="Arial" w:cs="Arial"/>
              </w:rPr>
              <w:t xml:space="preserve"> importance of a common vision of success and how to measure it, as</w:t>
            </w:r>
            <w:r>
              <w:rPr>
                <w:rFonts w:ascii="Arial" w:hAnsi="Arial" w:cs="Arial"/>
              </w:rPr>
              <w:t xml:space="preserve"> a key enabler of collaboration</w:t>
            </w:r>
            <w:r w:rsidRPr="000942B3">
              <w:rPr>
                <w:rFonts w:ascii="Arial" w:hAnsi="Arial" w:cs="Arial"/>
              </w:rPr>
              <w:t>.</w:t>
            </w:r>
          </w:p>
          <w:p w14:paraId="675A381F" w14:textId="6F5087D0" w:rsidR="007E73E8" w:rsidRDefault="000942B3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There</w:t>
            </w:r>
            <w:r w:rsidR="007E73E8" w:rsidRPr="009C4DEB">
              <w:rPr>
                <w:rFonts w:ascii="Arial" w:hAnsi="Arial" w:cs="Arial"/>
              </w:rPr>
              <w:t xml:space="preserve"> is a significant risk of failure without supporting </w:t>
            </w:r>
            <w:r>
              <w:rPr>
                <w:rFonts w:ascii="Arial" w:hAnsi="Arial" w:cs="Arial"/>
              </w:rPr>
              <w:t>programs</w:t>
            </w:r>
            <w:r w:rsidR="007E73E8" w:rsidRPr="009C4DEB">
              <w:rPr>
                <w:rFonts w:ascii="Arial" w:hAnsi="Arial" w:cs="Arial"/>
              </w:rPr>
              <w:t xml:space="preserve"> to reduce </w:t>
            </w:r>
            <w:r>
              <w:rPr>
                <w:rFonts w:ascii="Arial" w:hAnsi="Arial" w:cs="Arial"/>
              </w:rPr>
              <w:t>negative</w:t>
            </w:r>
            <w:r w:rsidR="007E73E8" w:rsidRPr="009C4DEB">
              <w:rPr>
                <w:rFonts w:ascii="Arial" w:hAnsi="Arial" w:cs="Arial"/>
              </w:rPr>
              <w:t xml:space="preserve"> perceptions </w:t>
            </w:r>
            <w:r>
              <w:rPr>
                <w:rFonts w:ascii="Arial" w:hAnsi="Arial" w:cs="Arial"/>
              </w:rPr>
              <w:t>of ex-offenders, to</w:t>
            </w:r>
            <w:r w:rsidR="007E73E8" w:rsidRPr="009C4DEB">
              <w:rPr>
                <w:rFonts w:ascii="Arial" w:hAnsi="Arial" w:cs="Arial"/>
              </w:rPr>
              <w:t xml:space="preserve"> build supply chain capacity </w:t>
            </w:r>
            <w:r w:rsidR="007E73E8">
              <w:rPr>
                <w:rFonts w:ascii="Arial" w:hAnsi="Arial" w:cs="Arial"/>
              </w:rPr>
              <w:t xml:space="preserve">and support systems </w:t>
            </w:r>
            <w:r w:rsidR="007E73E8" w:rsidRPr="009C4DEB">
              <w:rPr>
                <w:rFonts w:ascii="Arial" w:hAnsi="Arial" w:cs="Arial"/>
              </w:rPr>
              <w:t xml:space="preserve">to </w:t>
            </w:r>
            <w:r w:rsidR="007E73E8">
              <w:rPr>
                <w:rFonts w:ascii="Arial" w:hAnsi="Arial" w:cs="Arial"/>
              </w:rPr>
              <w:t>employ</w:t>
            </w:r>
            <w:r w:rsidR="007E73E8" w:rsidRPr="009C4DEB">
              <w:rPr>
                <w:rFonts w:ascii="Arial" w:hAnsi="Arial" w:cs="Arial"/>
              </w:rPr>
              <w:t xml:space="preserve"> these people.</w:t>
            </w:r>
          </w:p>
          <w:p w14:paraId="060A0782" w14:textId="77777777" w:rsidR="007E73E8" w:rsidRDefault="007E73E8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E73E8">
              <w:rPr>
                <w:rFonts w:ascii="Arial" w:hAnsi="Arial" w:cs="Arial"/>
              </w:rPr>
              <w:t>egative stigmas about ex-offenders as employees</w:t>
            </w:r>
            <w:r>
              <w:rPr>
                <w:rFonts w:ascii="Arial" w:hAnsi="Arial" w:cs="Arial"/>
              </w:rPr>
              <w:t xml:space="preserve"> can be reduced</w:t>
            </w:r>
            <w:r w:rsidRPr="007E73E8">
              <w:rPr>
                <w:rFonts w:ascii="Arial" w:hAnsi="Arial" w:cs="Arial"/>
              </w:rPr>
              <w:t xml:space="preserve"> using practical interventions such as supply chain education programmes and capacity-building programmes which provide both resources and wrap-around support services to enable the successful and sustainable integration of these people into the construction industry. </w:t>
            </w:r>
          </w:p>
          <w:p w14:paraId="49678645" w14:textId="283BA553" w:rsidR="007E73E8" w:rsidRDefault="007E73E8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E73E8">
              <w:rPr>
                <w:rFonts w:ascii="Arial" w:hAnsi="Arial" w:cs="Arial"/>
              </w:rPr>
              <w:t xml:space="preserve">These support strategies will need to be targeted </w:t>
            </w:r>
            <w:r>
              <w:rPr>
                <w:rFonts w:ascii="Arial" w:hAnsi="Arial" w:cs="Arial"/>
              </w:rPr>
              <w:t>because</w:t>
            </w:r>
            <w:r w:rsidRPr="007E73E8">
              <w:rPr>
                <w:rFonts w:ascii="Arial" w:hAnsi="Arial" w:cs="Arial"/>
              </w:rPr>
              <w:t xml:space="preserve"> some types of ex-offenders are perceived to be more employable than others</w:t>
            </w:r>
            <w:r>
              <w:rPr>
                <w:rFonts w:ascii="Arial" w:hAnsi="Arial" w:cs="Arial"/>
              </w:rPr>
              <w:t xml:space="preserve"> and some types of firms and trades need more support than others</w:t>
            </w:r>
            <w:r w:rsidRPr="007E73E8">
              <w:rPr>
                <w:rFonts w:ascii="Arial" w:hAnsi="Arial" w:cs="Arial"/>
              </w:rPr>
              <w:t xml:space="preserve">. </w:t>
            </w:r>
          </w:p>
          <w:p w14:paraId="0D2C04A3" w14:textId="13421A1A" w:rsidR="007E73E8" w:rsidRDefault="007E73E8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E73E8">
              <w:rPr>
                <w:rFonts w:ascii="Arial" w:hAnsi="Arial" w:cs="Arial"/>
              </w:rPr>
              <w:t xml:space="preserve">nitiatives which provide managed experience of ex-offenders at a small scale coupled with case studies of companies which have successfully employed ex-offenders might be powerful ways to change attitudes in the industry. </w:t>
            </w:r>
          </w:p>
          <w:p w14:paraId="00F406C6" w14:textId="77777777" w:rsidR="007E73E8" w:rsidRDefault="007E73E8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best to </w:t>
            </w:r>
            <w:r w:rsidRPr="007E73E8">
              <w:rPr>
                <w:rFonts w:ascii="Arial" w:hAnsi="Arial" w:cs="Arial"/>
              </w:rPr>
              <w:t xml:space="preserve">target those trades that are more receptive (the lower safety risks trades) and use them as champions to drive change in the less receptive trades. </w:t>
            </w:r>
          </w:p>
          <w:p w14:paraId="0A5D282E" w14:textId="5B49F3E9" w:rsidR="004F2F65" w:rsidRPr="00440FCA" w:rsidRDefault="004F2F65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40FCA">
              <w:rPr>
                <w:rFonts w:ascii="Arial" w:hAnsi="Arial" w:cs="Arial"/>
              </w:rPr>
              <w:t>Educati</w:t>
            </w:r>
            <w:r w:rsidR="007E73E8">
              <w:rPr>
                <w:rFonts w:ascii="Arial" w:hAnsi="Arial" w:cs="Arial"/>
              </w:rPr>
              <w:t>on programs for employers should highlight: the potential benefits which ex-offenders can bring to a workforce through case studies of success; t</w:t>
            </w:r>
            <w:r w:rsidRPr="00440FCA">
              <w:rPr>
                <w:rFonts w:ascii="Arial" w:hAnsi="Arial" w:cs="Arial"/>
              </w:rPr>
              <w:t xml:space="preserve">he challenges which </w:t>
            </w:r>
            <w:r w:rsidR="007E73E8">
              <w:rPr>
                <w:rFonts w:ascii="Arial" w:hAnsi="Arial" w:cs="Arial"/>
              </w:rPr>
              <w:t>ex-offenders face</w:t>
            </w:r>
            <w:r w:rsidRPr="00440FCA">
              <w:rPr>
                <w:rFonts w:ascii="Arial" w:hAnsi="Arial" w:cs="Arial"/>
              </w:rPr>
              <w:t xml:space="preserve"> in finding </w:t>
            </w:r>
            <w:r w:rsidR="007E73E8">
              <w:rPr>
                <w:rFonts w:ascii="Arial" w:hAnsi="Arial" w:cs="Arial"/>
              </w:rPr>
              <w:t>and retaining employment</w:t>
            </w:r>
            <w:r w:rsidRPr="00440FCA">
              <w:rPr>
                <w:rFonts w:ascii="Arial" w:hAnsi="Arial" w:cs="Arial"/>
              </w:rPr>
              <w:t>;</w:t>
            </w:r>
            <w:r w:rsidR="007E73E8">
              <w:rPr>
                <w:rFonts w:ascii="Arial" w:hAnsi="Arial" w:cs="Arial"/>
              </w:rPr>
              <w:t xml:space="preserve"> </w:t>
            </w:r>
            <w:r w:rsidRPr="00440FCA">
              <w:rPr>
                <w:rFonts w:ascii="Arial" w:hAnsi="Arial" w:cs="Arial"/>
              </w:rPr>
              <w:t>techniques to recognise and harness the many benefits which</w:t>
            </w:r>
            <w:r w:rsidR="007E73E8">
              <w:rPr>
                <w:rFonts w:ascii="Arial" w:hAnsi="Arial" w:cs="Arial"/>
              </w:rPr>
              <w:t xml:space="preserve"> ex-offenders</w:t>
            </w:r>
            <w:r w:rsidRPr="00440FCA">
              <w:rPr>
                <w:rFonts w:ascii="Arial" w:hAnsi="Arial" w:cs="Arial"/>
              </w:rPr>
              <w:t xml:space="preserve"> can bring to the workplace; </w:t>
            </w:r>
            <w:r w:rsidR="000942B3">
              <w:rPr>
                <w:rFonts w:ascii="Arial" w:hAnsi="Arial" w:cs="Arial"/>
              </w:rPr>
              <w:t>the impact of</w:t>
            </w:r>
            <w:r w:rsidRPr="00440FCA">
              <w:rPr>
                <w:rFonts w:ascii="Arial" w:hAnsi="Arial" w:cs="Arial"/>
              </w:rPr>
              <w:t xml:space="preserve"> </w:t>
            </w:r>
            <w:r w:rsidR="007E73E8">
              <w:rPr>
                <w:rFonts w:ascii="Arial" w:hAnsi="Arial" w:cs="Arial"/>
              </w:rPr>
              <w:t>negative stereotypes,</w:t>
            </w:r>
            <w:r w:rsidRPr="00440FCA">
              <w:rPr>
                <w:rFonts w:ascii="Arial" w:hAnsi="Arial" w:cs="Arial"/>
              </w:rPr>
              <w:t xml:space="preserve"> </w:t>
            </w:r>
            <w:r w:rsidR="007E73E8">
              <w:rPr>
                <w:rFonts w:ascii="Arial" w:hAnsi="Arial" w:cs="Arial"/>
              </w:rPr>
              <w:t>stigmatisation</w:t>
            </w:r>
            <w:r w:rsidRPr="00440FCA">
              <w:rPr>
                <w:rFonts w:ascii="Arial" w:hAnsi="Arial" w:cs="Arial"/>
              </w:rPr>
              <w:t xml:space="preserve"> and discrimination in the </w:t>
            </w:r>
            <w:r w:rsidR="007E73E8">
              <w:rPr>
                <w:rFonts w:ascii="Arial" w:hAnsi="Arial" w:cs="Arial"/>
              </w:rPr>
              <w:t>workplace.</w:t>
            </w:r>
          </w:p>
          <w:p w14:paraId="32DB2A74" w14:textId="477163C9" w:rsidR="004F2F65" w:rsidRDefault="000942B3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critical to e</w:t>
            </w:r>
            <w:r w:rsidR="004F2F65" w:rsidRPr="00440FCA">
              <w:rPr>
                <w:rFonts w:ascii="Arial" w:hAnsi="Arial" w:cs="Arial"/>
              </w:rPr>
              <w:t xml:space="preserve">quip </w:t>
            </w:r>
            <w:r w:rsidR="007E73E8">
              <w:rPr>
                <w:rFonts w:ascii="Arial" w:hAnsi="Arial" w:cs="Arial"/>
              </w:rPr>
              <w:t xml:space="preserve">ex-offenders </w:t>
            </w:r>
            <w:r w:rsidR="004F2F65" w:rsidRPr="00440FCA">
              <w:rPr>
                <w:rFonts w:ascii="Arial" w:hAnsi="Arial" w:cs="Arial"/>
              </w:rPr>
              <w:t xml:space="preserve">with the skills and knowledge to </w:t>
            </w:r>
            <w:r w:rsidR="007E73E8">
              <w:rPr>
                <w:rFonts w:ascii="Arial" w:hAnsi="Arial" w:cs="Arial"/>
              </w:rPr>
              <w:t xml:space="preserve">secure and maintain employment and to </w:t>
            </w:r>
            <w:r w:rsidR="004F2F65" w:rsidRPr="00440FCA">
              <w:rPr>
                <w:rFonts w:ascii="Arial" w:hAnsi="Arial" w:cs="Arial"/>
              </w:rPr>
              <w:t>navigate complex employment systems, procedures, laws and regulations</w:t>
            </w:r>
            <w:r>
              <w:rPr>
                <w:rFonts w:ascii="Arial" w:hAnsi="Arial" w:cs="Arial"/>
              </w:rPr>
              <w:t>. This is best done within the prison system in collaboration with the construction supply chain.</w:t>
            </w:r>
          </w:p>
          <w:p w14:paraId="640DF5ED" w14:textId="5A086C94" w:rsidR="00B01420" w:rsidRDefault="00B01420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support structures need to be put in place to help ex-offenders integrate successfully into the workforce</w:t>
            </w:r>
            <w:r w:rsidR="0031220F">
              <w:rPr>
                <w:rFonts w:ascii="Arial" w:hAnsi="Arial" w:cs="Arial"/>
              </w:rPr>
              <w:t xml:space="preserve"> and prevent them re-entering old destructive networks</w:t>
            </w:r>
            <w:r>
              <w:rPr>
                <w:rFonts w:ascii="Arial" w:hAnsi="Arial" w:cs="Arial"/>
              </w:rPr>
              <w:t>.</w:t>
            </w:r>
          </w:p>
          <w:p w14:paraId="35CBEA91" w14:textId="189F462B" w:rsidR="00B01420" w:rsidRPr="00440FCA" w:rsidRDefault="00B01420" w:rsidP="007E73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Employers also need significant support and education to enable this to happen.</w:t>
            </w:r>
          </w:p>
          <w:p w14:paraId="04111877" w14:textId="77777777" w:rsidR="00440FCA" w:rsidRPr="00440FCA" w:rsidRDefault="00440FCA" w:rsidP="004F2F65">
            <w:pPr>
              <w:rPr>
                <w:rFonts w:ascii="Arial" w:hAnsi="Arial" w:cs="Arial"/>
              </w:rPr>
            </w:pPr>
          </w:p>
          <w:p w14:paraId="607C0FEC" w14:textId="165F355D" w:rsidR="004F2F65" w:rsidRPr="00434ACB" w:rsidRDefault="004F2F65" w:rsidP="007E73E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EE6972" w14:textId="74E06954" w:rsidR="00B77F5E" w:rsidRPr="00434ACB" w:rsidRDefault="00B77F5E" w:rsidP="00434ACB">
      <w:pPr>
        <w:rPr>
          <w:rFonts w:ascii="Arial" w:hAnsi="Arial" w:cs="Arial"/>
          <w:sz w:val="24"/>
          <w:szCs w:val="24"/>
        </w:rPr>
      </w:pPr>
    </w:p>
    <w:sectPr w:rsidR="00B77F5E" w:rsidRPr="00434ACB" w:rsidSect="002A1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424" w:bottom="426" w:left="426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DE8FE" w14:textId="77777777" w:rsidR="005C6061" w:rsidRDefault="005C6061" w:rsidP="00B77F5E">
      <w:pPr>
        <w:spacing w:after="0" w:line="240" w:lineRule="auto"/>
      </w:pPr>
      <w:r>
        <w:separator/>
      </w:r>
    </w:p>
  </w:endnote>
  <w:endnote w:type="continuationSeparator" w:id="0">
    <w:p w14:paraId="28EA3034" w14:textId="77777777" w:rsidR="005C6061" w:rsidRDefault="005C6061" w:rsidP="00B7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191E6" w14:textId="77777777" w:rsidR="000942B3" w:rsidRDefault="00094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5F39" w14:textId="59B0530C" w:rsidR="007E73E8" w:rsidRDefault="00842960" w:rsidP="004F2F65">
    <w:pPr>
      <w:spacing w:after="0" w:line="240" w:lineRule="auto"/>
      <w:rPr>
        <w:rFonts w:ascii="Georgia" w:hAnsi="Georgia"/>
        <w:sz w:val="18"/>
        <w:szCs w:val="18"/>
      </w:rPr>
    </w:pPr>
    <w:r w:rsidRPr="004F2F65">
      <w:rPr>
        <w:rFonts w:ascii="Georgia" w:hAnsi="Georgia"/>
        <w:sz w:val="18"/>
        <w:szCs w:val="18"/>
      </w:rPr>
      <w:t>M</w:t>
    </w:r>
    <w:r w:rsidR="00AE595B" w:rsidRPr="004F2F65">
      <w:rPr>
        <w:rFonts w:ascii="Georgia" w:hAnsi="Georgia"/>
        <w:sz w:val="18"/>
        <w:szCs w:val="18"/>
      </w:rPr>
      <w:t xml:space="preserve">ore information: </w:t>
    </w:r>
  </w:p>
  <w:p w14:paraId="5C6ED1D8" w14:textId="77777777" w:rsidR="007E73E8" w:rsidRDefault="007E73E8" w:rsidP="004F2F65">
    <w:pPr>
      <w:spacing w:after="0" w:line="240" w:lineRule="auto"/>
      <w:rPr>
        <w:rFonts w:ascii="Georgia" w:hAnsi="Georgia"/>
        <w:sz w:val="18"/>
        <w:szCs w:val="18"/>
      </w:rPr>
    </w:pPr>
  </w:p>
  <w:p w14:paraId="3EE4CFB8" w14:textId="6A5B2531" w:rsidR="004F2F65" w:rsidRDefault="00312055" w:rsidP="004F2F65">
    <w:pPr>
      <w:spacing w:after="0" w:line="240" w:lineRule="auto"/>
      <w:rPr>
        <w:rFonts w:ascii="Georgia" w:hAnsi="Georgia"/>
        <w:sz w:val="18"/>
        <w:szCs w:val="18"/>
      </w:rPr>
    </w:pPr>
    <w:r w:rsidRPr="00312055">
      <w:rPr>
        <w:rFonts w:ascii="Georgia" w:hAnsi="Georgia"/>
        <w:sz w:val="18"/>
        <w:szCs w:val="18"/>
      </w:rPr>
      <w:t>Martin Loosemore, Francesco Daniele &amp; Benson T. H. Lim (2019): Integrating ex-offenders into the Australian construction industry, Construction Management and Economics, DOI: 10.1080/01446193.2019.1674449</w:t>
    </w:r>
  </w:p>
  <w:p w14:paraId="45AEB05A" w14:textId="77777777" w:rsidR="007E73E8" w:rsidRDefault="007E73E8" w:rsidP="004F2F65">
    <w:pPr>
      <w:spacing w:after="0" w:line="240" w:lineRule="auto"/>
      <w:rPr>
        <w:rFonts w:ascii="Georgia" w:hAnsi="Georgia"/>
        <w:sz w:val="18"/>
        <w:szCs w:val="18"/>
      </w:rPr>
    </w:pPr>
  </w:p>
  <w:p w14:paraId="071242C7" w14:textId="101F9218" w:rsidR="007E73E8" w:rsidRPr="004F2F65" w:rsidRDefault="007E73E8" w:rsidP="004F2F65">
    <w:pPr>
      <w:spacing w:after="0" w:line="240" w:lineRule="auto"/>
      <w:rPr>
        <w:rStyle w:val="Hyperlink"/>
        <w:rFonts w:ascii="Arial" w:hAnsi="Arial" w:cs="Arial"/>
        <w:sz w:val="18"/>
        <w:szCs w:val="18"/>
      </w:rPr>
    </w:pPr>
    <w:r w:rsidRPr="007E73E8">
      <w:rPr>
        <w:rStyle w:val="Hyperlink"/>
        <w:rFonts w:ascii="Arial" w:hAnsi="Arial" w:cs="Arial"/>
        <w:sz w:val="18"/>
        <w:szCs w:val="18"/>
      </w:rPr>
      <w:t>M. Loosemore, J. Bridgeman &amp; R. Keast (2020): Reintegrating ex-offenders into work through construction: a case study of cross-sector collaboration in social procurement, Building Research &amp; Information, DOI: 10.1080/09613218.2019.1699772</w:t>
    </w:r>
  </w:p>
  <w:p w14:paraId="50FE24C5" w14:textId="61213AAB" w:rsidR="005059CC" w:rsidRPr="00403E1F" w:rsidRDefault="005059CC">
    <w:pPr>
      <w:pStyle w:val="Footer"/>
      <w:rPr>
        <w:rFonts w:ascii="Georgia" w:hAnsi="Georgi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F3F7" w14:textId="77777777" w:rsidR="000942B3" w:rsidRDefault="0009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1E043" w14:textId="77777777" w:rsidR="005C6061" w:rsidRDefault="005C6061" w:rsidP="00B77F5E">
      <w:pPr>
        <w:spacing w:after="0" w:line="240" w:lineRule="auto"/>
      </w:pPr>
      <w:r>
        <w:separator/>
      </w:r>
    </w:p>
  </w:footnote>
  <w:footnote w:type="continuationSeparator" w:id="0">
    <w:p w14:paraId="44CB0F2B" w14:textId="77777777" w:rsidR="005C6061" w:rsidRDefault="005C6061" w:rsidP="00B7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D44F" w14:textId="77777777" w:rsidR="000942B3" w:rsidRDefault="00094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99C8" w14:textId="5F741277" w:rsidR="00B77F5E" w:rsidRDefault="00B77F5E" w:rsidP="00534AA0">
    <w:pPr>
      <w:pStyle w:val="Header"/>
      <w:tabs>
        <w:tab w:val="center" w:pos="5528"/>
        <w:tab w:val="left" w:pos="8769"/>
        <w:tab w:val="left" w:pos="1033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6C32" w14:textId="77777777" w:rsidR="000942B3" w:rsidRDefault="00094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D02"/>
    <w:multiLevelType w:val="hybridMultilevel"/>
    <w:tmpl w:val="AA806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7AFC"/>
    <w:multiLevelType w:val="hybridMultilevel"/>
    <w:tmpl w:val="B2562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F74"/>
    <w:multiLevelType w:val="hybridMultilevel"/>
    <w:tmpl w:val="F39EAA30"/>
    <w:lvl w:ilvl="0" w:tplc="643A5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0EBD"/>
    <w:multiLevelType w:val="hybridMultilevel"/>
    <w:tmpl w:val="53148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6046B"/>
    <w:multiLevelType w:val="hybridMultilevel"/>
    <w:tmpl w:val="F1C82DA4"/>
    <w:lvl w:ilvl="0" w:tplc="A468A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74D7B"/>
    <w:multiLevelType w:val="hybridMultilevel"/>
    <w:tmpl w:val="4AD071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91C3B"/>
    <w:multiLevelType w:val="hybridMultilevel"/>
    <w:tmpl w:val="95F2E7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47210"/>
    <w:multiLevelType w:val="hybridMultilevel"/>
    <w:tmpl w:val="46069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90A91"/>
    <w:multiLevelType w:val="hybridMultilevel"/>
    <w:tmpl w:val="35543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A0DE3"/>
    <w:multiLevelType w:val="hybridMultilevel"/>
    <w:tmpl w:val="DB98F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74313"/>
    <w:multiLevelType w:val="hybridMultilevel"/>
    <w:tmpl w:val="D760F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F1D05"/>
    <w:multiLevelType w:val="hybridMultilevel"/>
    <w:tmpl w:val="1422A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44AFC"/>
    <w:multiLevelType w:val="hybridMultilevel"/>
    <w:tmpl w:val="D5CEF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9483E"/>
    <w:multiLevelType w:val="hybridMultilevel"/>
    <w:tmpl w:val="F7C26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D552E"/>
    <w:multiLevelType w:val="hybridMultilevel"/>
    <w:tmpl w:val="FAC4DD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36EE5"/>
    <w:multiLevelType w:val="hybridMultilevel"/>
    <w:tmpl w:val="75C46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766B7"/>
    <w:multiLevelType w:val="hybridMultilevel"/>
    <w:tmpl w:val="B4300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4"/>
  </w:num>
  <w:num w:numId="5">
    <w:abstractNumId w:val="16"/>
  </w:num>
  <w:num w:numId="6">
    <w:abstractNumId w:val="0"/>
  </w:num>
  <w:num w:numId="7">
    <w:abstractNumId w:val="7"/>
  </w:num>
  <w:num w:numId="8">
    <w:abstractNumId w:val="15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3"/>
  </w:num>
  <w:num w:numId="14">
    <w:abstractNumId w:val="1"/>
  </w:num>
  <w:num w:numId="15">
    <w:abstractNumId w:val="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5E"/>
    <w:rsid w:val="000019BF"/>
    <w:rsid w:val="00015E21"/>
    <w:rsid w:val="00045493"/>
    <w:rsid w:val="0005284C"/>
    <w:rsid w:val="000942B3"/>
    <w:rsid w:val="00095BEB"/>
    <w:rsid w:val="000A16C9"/>
    <w:rsid w:val="000A1BF9"/>
    <w:rsid w:val="001177BF"/>
    <w:rsid w:val="0013168A"/>
    <w:rsid w:val="00147814"/>
    <w:rsid w:val="00172DA1"/>
    <w:rsid w:val="00173846"/>
    <w:rsid w:val="00184E6B"/>
    <w:rsid w:val="001C47D6"/>
    <w:rsid w:val="001D349D"/>
    <w:rsid w:val="001F2318"/>
    <w:rsid w:val="002015FF"/>
    <w:rsid w:val="00205364"/>
    <w:rsid w:val="00235F5A"/>
    <w:rsid w:val="002426CA"/>
    <w:rsid w:val="00251065"/>
    <w:rsid w:val="00253BE7"/>
    <w:rsid w:val="00263EB8"/>
    <w:rsid w:val="002A1BCE"/>
    <w:rsid w:val="002A2479"/>
    <w:rsid w:val="002A2E47"/>
    <w:rsid w:val="00306A62"/>
    <w:rsid w:val="00312055"/>
    <w:rsid w:val="0031220F"/>
    <w:rsid w:val="0031224B"/>
    <w:rsid w:val="00317A75"/>
    <w:rsid w:val="00320BBD"/>
    <w:rsid w:val="003404F0"/>
    <w:rsid w:val="0036519B"/>
    <w:rsid w:val="003653E9"/>
    <w:rsid w:val="0039497E"/>
    <w:rsid w:val="00403E1F"/>
    <w:rsid w:val="00434ACB"/>
    <w:rsid w:val="00440FCA"/>
    <w:rsid w:val="00456420"/>
    <w:rsid w:val="004763FA"/>
    <w:rsid w:val="00486E9C"/>
    <w:rsid w:val="00496841"/>
    <w:rsid w:val="004A4238"/>
    <w:rsid w:val="004C16E5"/>
    <w:rsid w:val="004D21A9"/>
    <w:rsid w:val="004E5ACF"/>
    <w:rsid w:val="004F2F65"/>
    <w:rsid w:val="005059CC"/>
    <w:rsid w:val="00513D22"/>
    <w:rsid w:val="00534AA0"/>
    <w:rsid w:val="005505A8"/>
    <w:rsid w:val="00552916"/>
    <w:rsid w:val="0056777A"/>
    <w:rsid w:val="005715C2"/>
    <w:rsid w:val="00582E78"/>
    <w:rsid w:val="005C6061"/>
    <w:rsid w:val="005D62D5"/>
    <w:rsid w:val="00616D26"/>
    <w:rsid w:val="00631BEB"/>
    <w:rsid w:val="00640F53"/>
    <w:rsid w:val="00641B78"/>
    <w:rsid w:val="006457FC"/>
    <w:rsid w:val="00687CBD"/>
    <w:rsid w:val="006947D8"/>
    <w:rsid w:val="006F0193"/>
    <w:rsid w:val="006F4350"/>
    <w:rsid w:val="007047FE"/>
    <w:rsid w:val="00706520"/>
    <w:rsid w:val="00716B8D"/>
    <w:rsid w:val="007300FE"/>
    <w:rsid w:val="007350AC"/>
    <w:rsid w:val="007420F9"/>
    <w:rsid w:val="0076672E"/>
    <w:rsid w:val="00791F89"/>
    <w:rsid w:val="007A5DB8"/>
    <w:rsid w:val="007C238D"/>
    <w:rsid w:val="007D5EE1"/>
    <w:rsid w:val="007D6A9A"/>
    <w:rsid w:val="007E73E8"/>
    <w:rsid w:val="008154CA"/>
    <w:rsid w:val="00824A20"/>
    <w:rsid w:val="00842960"/>
    <w:rsid w:val="00887AC9"/>
    <w:rsid w:val="008E71EF"/>
    <w:rsid w:val="008E754F"/>
    <w:rsid w:val="0090223E"/>
    <w:rsid w:val="00926404"/>
    <w:rsid w:val="00962CDF"/>
    <w:rsid w:val="00971D8F"/>
    <w:rsid w:val="00991747"/>
    <w:rsid w:val="009925C8"/>
    <w:rsid w:val="00996EF0"/>
    <w:rsid w:val="009B78F2"/>
    <w:rsid w:val="009C22B0"/>
    <w:rsid w:val="009C4DEB"/>
    <w:rsid w:val="009D1EE9"/>
    <w:rsid w:val="009F1307"/>
    <w:rsid w:val="00A064D1"/>
    <w:rsid w:val="00A83703"/>
    <w:rsid w:val="00AA0EE4"/>
    <w:rsid w:val="00AE1420"/>
    <w:rsid w:val="00AE595B"/>
    <w:rsid w:val="00AE7D0D"/>
    <w:rsid w:val="00AE7DF8"/>
    <w:rsid w:val="00AF7402"/>
    <w:rsid w:val="00B01420"/>
    <w:rsid w:val="00B01724"/>
    <w:rsid w:val="00B14790"/>
    <w:rsid w:val="00B151DD"/>
    <w:rsid w:val="00B219CE"/>
    <w:rsid w:val="00B77F5E"/>
    <w:rsid w:val="00B8254B"/>
    <w:rsid w:val="00B90646"/>
    <w:rsid w:val="00BB06C1"/>
    <w:rsid w:val="00BB7D88"/>
    <w:rsid w:val="00BF111C"/>
    <w:rsid w:val="00C03FF4"/>
    <w:rsid w:val="00C12803"/>
    <w:rsid w:val="00C14957"/>
    <w:rsid w:val="00C26104"/>
    <w:rsid w:val="00C5379F"/>
    <w:rsid w:val="00C739DF"/>
    <w:rsid w:val="00C923D6"/>
    <w:rsid w:val="00C94444"/>
    <w:rsid w:val="00CB794E"/>
    <w:rsid w:val="00CD5F7E"/>
    <w:rsid w:val="00CE67E0"/>
    <w:rsid w:val="00CF6ABB"/>
    <w:rsid w:val="00D05581"/>
    <w:rsid w:val="00D26706"/>
    <w:rsid w:val="00D37430"/>
    <w:rsid w:val="00D8327E"/>
    <w:rsid w:val="00D96003"/>
    <w:rsid w:val="00DF552A"/>
    <w:rsid w:val="00E247A9"/>
    <w:rsid w:val="00E27855"/>
    <w:rsid w:val="00E33B36"/>
    <w:rsid w:val="00E407E2"/>
    <w:rsid w:val="00E5130C"/>
    <w:rsid w:val="00E95EEB"/>
    <w:rsid w:val="00EA47B9"/>
    <w:rsid w:val="00EE5CCC"/>
    <w:rsid w:val="00F1299A"/>
    <w:rsid w:val="00F13E4B"/>
    <w:rsid w:val="00F16044"/>
    <w:rsid w:val="00F22307"/>
    <w:rsid w:val="00F25254"/>
    <w:rsid w:val="00F5006A"/>
    <w:rsid w:val="00F841E6"/>
    <w:rsid w:val="00FA13DA"/>
    <w:rsid w:val="00FB6E68"/>
    <w:rsid w:val="00FD2462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B88B3"/>
  <w15:chartTrackingRefBased/>
  <w15:docId w15:val="{E946C804-C0DB-4FAA-B5CB-013F08F3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3FF4"/>
    <w:pPr>
      <w:keepNext/>
      <w:keepLines/>
      <w:spacing w:before="160" w:after="120" w:line="240" w:lineRule="auto"/>
      <w:outlineLvl w:val="1"/>
    </w:pPr>
    <w:rPr>
      <w:rFonts w:ascii="Georgia" w:eastAsiaTheme="majorEastAsia" w:hAnsi="Georgia" w:cstheme="majorBidi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link w:val="ReferencesChar"/>
    <w:autoRedefine/>
    <w:qFormat/>
    <w:rsid w:val="00926404"/>
    <w:pPr>
      <w:keepLines/>
      <w:spacing w:before="240" w:after="120" w:line="36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ReferencesChar">
    <w:name w:val="References Char"/>
    <w:link w:val="References"/>
    <w:rsid w:val="009264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5E"/>
  </w:style>
  <w:style w:type="paragraph" w:styleId="Footer">
    <w:name w:val="footer"/>
    <w:basedOn w:val="Normal"/>
    <w:link w:val="FooterChar"/>
    <w:uiPriority w:val="99"/>
    <w:unhideWhenUsed/>
    <w:rsid w:val="00B7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5E"/>
  </w:style>
  <w:style w:type="table" w:styleId="TableGrid">
    <w:name w:val="Table Grid"/>
    <w:basedOn w:val="TableNormal"/>
    <w:uiPriority w:val="39"/>
    <w:rsid w:val="00B7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03FF4"/>
    <w:rPr>
      <w:rFonts w:ascii="Georgia" w:eastAsiaTheme="majorEastAsia" w:hAnsi="Georgia" w:cstheme="majorBidi"/>
      <w:b/>
      <w:bCs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8E7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9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7D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F2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es.uts.edu.au/Martin.Loosemor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C094-070B-4640-82E0-04216BFF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Denny-Smith</dc:creator>
  <cp:keywords/>
  <dc:description/>
  <cp:lastModifiedBy>Martin Loosemore</cp:lastModifiedBy>
  <cp:revision>10</cp:revision>
  <dcterms:created xsi:type="dcterms:W3CDTF">2021-10-27T09:18:00Z</dcterms:created>
  <dcterms:modified xsi:type="dcterms:W3CDTF">2022-08-24T10:15:00Z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2021-05-28T03:44:38Z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7443d677-1f94-4bd5-aa2e-5aaa46041ac2</vt:lpwstr>
  </property>
  <property fmtid="{D5CDD505-2E9C-101B-9397-08002B2CF9AE}" pid="8" name="MSIP_Label_51a6c3db-1667-4f49-995a-8b9973972958_ContentBits">
    <vt:lpwstr>0</vt:lpwstr>
  </property>
</Properties>
</file>